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16"/>
      </w:tblGrid>
      <w:tr w:rsidR="003532AF" w14:paraId="7B58E911" w14:textId="77777777" w:rsidTr="003532AF">
        <w:tblPrEx>
          <w:tblCellMar>
            <w:top w:w="0" w:type="dxa"/>
            <w:bottom w:w="0" w:type="dxa"/>
          </w:tblCellMar>
        </w:tblPrEx>
        <w:trPr>
          <w:trHeight w:hRule="exact" w:val="1572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</w:tcPr>
          <w:p w14:paraId="7076098A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532AF" w14:paraId="11D32E32" w14:textId="77777777" w:rsidTr="003532AF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F22DC9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Минсельхоза России от 31.07.2020 N 442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Порядка государственной регистрации пестицидов и агрохимикатов"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29.10.2020 N 60650)</w:t>
            </w:r>
          </w:p>
        </w:tc>
      </w:tr>
    </w:tbl>
    <w:p w14:paraId="1BFBCD6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Примечание к документу</w:t>
      </w:r>
    </w:p>
    <w:p w14:paraId="2604186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32AF">
        <w:rPr>
          <w:rFonts w:ascii="Times New Roman" w:hAnsi="Times New Roman" w:cs="Times New Roman"/>
          <w:sz w:val="24"/>
          <w:szCs w:val="24"/>
          <w:highlight w:val="yellow"/>
        </w:rPr>
        <w:t>Начало действия документа - 01.01.2021.</w:t>
      </w:r>
    </w:p>
    <w:p w14:paraId="0629DAE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Название документа</w:t>
      </w:r>
    </w:p>
    <w:p w14:paraId="0EC07AF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Минсельхоза России от 31.07.2020 N 442</w:t>
      </w:r>
    </w:p>
    <w:p w14:paraId="0939E01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"Об утверждении Порядка государственной регистрации пестицидов и агрохимикатов"</w:t>
      </w:r>
    </w:p>
    <w:p w14:paraId="0C55EEE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(Зарегистрировано в Минюсте России 29.10.2020 N 60650)</w:t>
      </w:r>
    </w:p>
    <w:p w14:paraId="57BBD28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87D25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9C486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Минюсте России 29 октября 2020 г. N 60650</w:t>
      </w:r>
    </w:p>
    <w:p w14:paraId="7A91EB6F" w14:textId="77777777" w:rsidR="003532AF" w:rsidRDefault="003532AF" w:rsidP="003532A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B01E9A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C72F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МИНИСТЕРСТВО СЕЛЬСКОГО ХОЗЯЙСТВА РОССИЙСКОЙ ФЕДЕРАЦИИ</w:t>
      </w:r>
    </w:p>
    <w:p w14:paraId="128377C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895CA8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ПРИКАЗ</w:t>
      </w:r>
    </w:p>
    <w:p w14:paraId="0588803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от 31 июля 2020 г. N 442</w:t>
      </w:r>
    </w:p>
    <w:p w14:paraId="60AB23D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08A6D2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ОБ УТВЕРЖДЕНИИ ПОРЯДКА</w:t>
      </w:r>
    </w:p>
    <w:p w14:paraId="798A7C0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ГОСУДАРСТВЕННОЙ РЕГИСТРАЦИИ ПЕСТИЦИДОВ И АГРОХИМИКАТОВ</w:t>
      </w:r>
    </w:p>
    <w:p w14:paraId="50C448D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2A6FF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части 2 статьи 12 Федерального закона от 19 июля 1997 г. N 109-ФЗ "О безопасном обращении с пестицидами и агрохимикатами" (Собрание законодательства Российской Федерации, 1997, N 29, ст. 3510) и на основании подпункта 5.2.25(65)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 (Собрание законодательства Российской Федерации, 2008, N 25, ст. 2983; 2013, N 10, ст. 1038), приказываю:</w:t>
      </w:r>
    </w:p>
    <w:p w14:paraId="1815274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Порядок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пестицидов и агрохимикатов.</w:t>
      </w:r>
    </w:p>
    <w:p w14:paraId="7E8F8CA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2021 г.</w:t>
      </w:r>
    </w:p>
    <w:p w14:paraId="6413CAAB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2E07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Министр</w:t>
      </w:r>
    </w:p>
    <w:p w14:paraId="1479B648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Д.Н.ПАТРУШЕВ</w:t>
      </w:r>
    </w:p>
    <w:p w14:paraId="1C52B077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48839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EC56A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C5EE2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D6C8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49A9F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14:paraId="2A0A860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Минсельхоза России</w:t>
      </w:r>
    </w:p>
    <w:p w14:paraId="70C3B85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31 июля 2020 г. N 442</w:t>
      </w:r>
    </w:p>
    <w:p w14:paraId="1F82E11B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028F0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</w:t>
      </w:r>
    </w:p>
    <w:p w14:paraId="2C356DD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ГОСУДАРСТВЕННОЙ РЕГИСТРАЦИИ ПЕСТИЦИДОВ</w:t>
      </w:r>
    </w:p>
    <w:p w14:paraId="18C46FD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 АГРОХИМИКАТОВ</w:t>
      </w:r>
    </w:p>
    <w:p w14:paraId="430403B8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F778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I. Общие положения</w:t>
      </w:r>
    </w:p>
    <w:p w14:paraId="4869F73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3D21F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Государственная регистрация пестицидов и агрохимикатов осуществляется в соответствии с настоящим Порядком и Административным регламентом Министерства сельского хозяйства Российской Федерации по предоставлению государственной услуги по государственной регистрации пестицидов и (или) агрохимикатов, утвержденным приказом Минсельхоза России от 9 июля 2015 г. N 294 (зарегистрирован Минюстом России 11 ноября 2015 г., регистрационный N 39663), с изменениями, внесенными приказами Минсельхоза России от 17 мая 2016 г. N 187 (зарегистрирован Минюстом России 14 июня 2016 г., регистрационный N 42516), от 6 декабря 2017 г. N 611 (зарегистрирован Минюстом России 27 декабря 2017 г., регистрационный N 49487) и от 6 сентября 2019 г. N 532 (зарегистрирован Минюстом России 18 ноября 2019 г., регистрационный N 56524).</w:t>
      </w:r>
    </w:p>
    <w:p w14:paraId="584DC52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Государственная регистрация осуществляется в отношении пестицидов и агрохимикатов, по которым проведены регистрационные испытания и получены экспертизы федеральных органов исполнительной власти по результатам регистрационных испытаний &lt;1&gt;.</w:t>
      </w:r>
    </w:p>
    <w:p w14:paraId="3A91EFC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0BA90B2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Статьи 9 и 12 Федерального закона от 19 июля 1997 г. N 109-ФЗ "О безопасном обращении с пестицидами и агрохимикатами".</w:t>
      </w:r>
    </w:p>
    <w:p w14:paraId="6F1E7B5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6D8E37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Процедура государственной регистрации пестицидов и агрохимикатов включает в себя &lt;2&gt;:</w:t>
      </w:r>
    </w:p>
    <w:p w14:paraId="28F5D26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994E3E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Приказ Роспотребнадзора от 1 августа 2006 г. N 225 "О санитарно-эпидемиологической экспертизе пестицидов и агрохимикатов" (зарегистрирован Минюстом России 15 сентября 2006 г., регистрационный N 8316) с изменениями, внесенными приказом Роспотребнадзора от 22 июля 2016 г. N 813 (зарегистрирован Минюстом России 26 сентября 2016 г., регистрационный N 43802);</w:t>
      </w:r>
    </w:p>
    <w:p w14:paraId="5FF8CB4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Минсельхоза России от 12 марта 2020 г. N 124 "Об утверждении порядка проведения экспертизы результатов регистрационных испытаний пестицидов и агрохимикатов" (зарегистрирован Минюстом России 28 апреля 2020 г., регистрационный N 58235);</w:t>
      </w:r>
    </w:p>
    <w:p w14:paraId="669AFDB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Минсельхоза России от 25 января 2012 г. N 79 "Об утверждении методики определения платы за оказание услуги по регистрационным испытаниям пестицида или агрохимиката, предоставляемой федеральными государственными бюджетными учреждениями, находящимися в ведении Минсельхоза России, и предельного размера платы за оказание услуги по регистрационным испытаниям пестицида или агрохимиката в части определения биологической эффективности пестицида или агрохимиката и разработки регламентов их применения, предоставляемой федеральными государственными бюджетными учреждениями, находящимися в ведении Минсельхоза России" (зарегистрирован Минюстом России 27 марта 2012 г., регистрационный N 23608);</w:t>
      </w:r>
    </w:p>
    <w:p w14:paraId="6303512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Минсельхоза России от 11 мая 2018 г. N 203 "Об утверждении Порядка допуска Министерством сельского хозяйства Российской Федерации к проведению регистрационных испытаний пестицидов и агрохимикатов 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квалификации" (зарегистрирован Минюстом России 7 августа 2018 г., регистрационный N 51802) с изменениями, внесенными приказом Минсельхоза России от 12 марта 2020 г. N 126 (зарегистрирован Минюстом России от 30 июня 2020 г., регистрационный N 58806);</w:t>
      </w:r>
    </w:p>
    <w:p w14:paraId="114D4DE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Роспотребнадзора от 23 июля 2012 г. N 781 "Об утверждении Административного регламента Федеральной службы по надзору в сфере защиты прав потребителей и благополучия человека по предоставлению государственной услуги по государственной регистрации впервые внедряемых в производство и ранее не использовавшихся химических, биологических веществ и изготовляемых на их основе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препаратов, потенциально опасных для человека (кроме лекарственных средств); отдельных видов продукции, представляющих потенциальную опасность для человека (кроме лекарственных средств); отдельных видов продукции, в том числе пищевых продуктов, впервые ввозимых на таможенную территорию Таможенного союза" (зарегистрирован Минюстом России 12 сентября 2012 г., регистрационный N 25444) с изменениями, внесенными приказами Роспотребнадзора от 18 декабря 2012 г. N 1173 (зарегистрирован Минюстом России 27 февраля 2013 г., регистрационный N 27371), от 30 августа 2013 г. N 630 (зарегистрирован Минюстом России 3 октября 2013 г., регистрационный N 30089), от 16 июля 2014 г. N 779 (зарегистрирован Минюстом России 4 августа 2014 г., регистрационный N 33410), от 13 августа 2015 г. N 658 (зарегистрирован Минюстом России 10 сентября 2015 г., регистрационный N 38868), от 7 апреля 2016 г. N 250 (зарегистрирован Минюстом России 25 апреля 2016 г., регистрационный N 41912);</w:t>
      </w:r>
    </w:p>
    <w:p w14:paraId="5DB2D07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Госкомэкологии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16 мая 2000 г. N 372 "Об утверждении Положения об оценке воздействия намечаемой хозяйственной и иной деятельности на окружающую среду в Российской Федерации" (зарегистрирован Минюстом России 4 июля 2000 г., регистрационный N 2302).</w:t>
      </w:r>
    </w:p>
    <w:p w14:paraId="2FF34F0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A859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организацию регистрационных испытаний пестицида или агрохимиката;</w:t>
      </w:r>
    </w:p>
    <w:p w14:paraId="0E53125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организацию и проведение экспертизы регламентов применения пестицида или агрохимиката;</w:t>
      </w:r>
    </w:p>
    <w:p w14:paraId="23F2BD4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организацию и проведение экспертизы результатов регистрационных испытаний пестицида или агрохимиката;</w:t>
      </w:r>
    </w:p>
    <w:p w14:paraId="3254902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государственную регистрацию пестицида или агрохимиката;</w:t>
      </w:r>
    </w:p>
    <w:p w14:paraId="712A306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выдачу свидетельства о государственной регистрации пестицида или агрохимиката заявителю;</w:t>
      </w:r>
    </w:p>
    <w:p w14:paraId="7A90E21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внесение пестицида или агрохимиката в Государственный каталог пестицидов и агрохимикатов, разрешенных к применению на территории Российской Федерации &lt;3&gt;.</w:t>
      </w:r>
    </w:p>
    <w:p w14:paraId="233FAA5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C766E7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&lt;3&gt; Часть 5 статьи 12 Федерального закона от 19 июля 1997 г. N 109-ФЗ "О безопасном обращении с пестицидами и агрохимикатами".</w:t>
      </w:r>
    </w:p>
    <w:p w14:paraId="4677F70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C01A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II. Организация и проведение регистрационных</w:t>
      </w:r>
    </w:p>
    <w:p w14:paraId="15E7920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испытаний пестицида или агрохимиката</w:t>
      </w:r>
    </w:p>
    <w:p w14:paraId="6FD8BDE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FB1938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Организацию проведения регистрационных испытаний осуществляет Минсельхоз России.</w:t>
      </w:r>
    </w:p>
    <w:p w14:paraId="0403576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Юридическое или физическое лицо, в том числе индивидуальный предприниматель, подавшее заявление на организацию проведения регистрационных испытаний пестицида или агрохимиката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>) лично или по почте подает заявление на организацию проведения регистрационных испытаний пестицида или агрохимиката в Минсельхоз России в произвольной форме до начала регистрационных испытаний.</w:t>
      </w:r>
    </w:p>
    <w:p w14:paraId="0F3BFC8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прилагаются сведения о пестициде (рекомендуемый образец сведений о пестициде приведен в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 или об агрохимикате (рекомендуемый образец сведений об агрохимикате приведен в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приложении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14:paraId="0B52B9A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Включение пестицида или агрохимиката в план регистрационных испытаний пестицидов и агрохимикатов является обязательным условием проведения регистрационных испытаний.</w:t>
      </w:r>
    </w:p>
    <w:p w14:paraId="7FA91ED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Минсельхоз России включает пестицид или агрохимикат в план регистрационных испытаний пестицидов и агрохимикатов.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проведения регистрационных испытаний пестицида или агрохимиката лично или по почте обращается в юридические лица, которые имеют необходимое для этого научное и материально-техническое обеспечение, специалистов соответствующего профиля и квалификации.</w:t>
      </w:r>
    </w:p>
    <w:p w14:paraId="16123DB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Срок включения пестицида или агрохимиката в план регистрационных испытаний пестицидов и агрохимикатов, а также дополнений к нему - 30 рабочих дней со дня регистрации заявления на организацию проведения регистрационных испытаний пестицида или агрохимиката.</w:t>
      </w:r>
    </w:p>
    <w:p w14:paraId="54D71E5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Минсельхоз России уведомляет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включении (невключении) в план регистрационных испытаний пестицидов и агрохимикатов, а также о дополнениях к нему, по почте и (или) на адрес электронной почты, указанный в заявлении, в течение 7 рабочих дней со дня принятия решения о включении (невключении) в него пестицидов и агрохимикатов.</w:t>
      </w:r>
    </w:p>
    <w:p w14:paraId="5BB4405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Правила допуска Минсельхозом России к проведению регистрационных испытаний пестицидов и агрохимикатов 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квалификации, определяются в соответствии с Порядком допуска Министерством сельского хозяйства Российской Федерации к проведению регистрационных испытаний пестицидов и агрохимикатов 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квалификации, утвержденным приказом Минсельхоза России от 11 мая 2018 г. N 203.</w:t>
      </w:r>
    </w:p>
    <w:p w14:paraId="2D15BED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юридических лиц, указанных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а также перечень юридических лиц, ответственных за подготовку экспертного заключения по определению эффективности применения пестицидов и (или) агрохимикатов и разработки регламентов их применения, размещается на официальном сайте Минсельхоза России в информационно-телекоммуникационной сети "Интернет" (</w:t>
      </w:r>
      <w:hyperlink r:id="rId8" w:history="1">
        <w:r>
          <w:rPr>
            <w:rFonts w:ascii="Times New Roman" w:hAnsi="Times New Roman" w:cs="Times New Roman"/>
            <w:sz w:val="24"/>
            <w:szCs w:val="24"/>
          </w:rPr>
          <w:t>www.mcx.ru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364751D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Минсельхоз России направляет по почте в течении 5 рабочих дней со дня включения пестицида и агрохимиката в план регистрационных испытаний пестицидов и агрохимикатов, а также в дополнения к нему, в юридические лица, ответственные за подготовку экспертного заключения по определению эффективности применения пестицидов и (или) агрохимикатов и разработки регламентов их применения, для сведения.</w:t>
      </w:r>
    </w:p>
    <w:p w14:paraId="691C6C9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представляет в Минсельхоз России программу регистрационных испытаний пестицида или агрохимиката, определяющую объем регистрационных испытаний пестицида или агрохимиката, а также количество пестицида или агрохимиката для проведения регистрационных испытаний.</w:t>
      </w:r>
    </w:p>
    <w:p w14:paraId="027FC15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Программа регистрационных испытаний пестицида или агрохимиката является основанием для ввоза в Российскую Федерацию или производства образца пестицида или агрохимиката.</w:t>
      </w:r>
    </w:p>
    <w:p w14:paraId="7A29F01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предоставляет бесплатно образцы пестицидов и (или) агрохимикатов для проведения регистрационных испытаний пестицидов и агрохимикатов и оплачивает регистрационные испытания заявленных пестицидов и (или) агрохимикатов &lt;4&gt;.</w:t>
      </w:r>
    </w:p>
    <w:p w14:paraId="35EB898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806F5C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 Часть 4 статьи 9 Федерального закона от 19 июля 1997 г. N 109-ФЗ "О безопасном обращении с пестицидами и агрохимикатами".</w:t>
      </w:r>
    </w:p>
    <w:p w14:paraId="2E108E7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55E2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По окончании регистрационных испытаний пестицида или агрохимиката юридические лица, указанные в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пункте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выдают лично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отчеты о результатах указанных испытаний. Полученные отчеты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лично передает юридическим лицам, указанным в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абзаце втором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для подготовки экспертного заключения.</w:t>
      </w:r>
    </w:p>
    <w:p w14:paraId="366963C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Юридические лица, указанные в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абзаце втором пункта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Порядка, выдают лично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экспертное заключение по определению эффективности применения пестицидов и (или) агрохимикатов и разработки регламентов их применения с рекомендацией к государственной регистрации пестицида или агрохимиката с указанием регламентов их применения или мотивированным отказом в такой рекомендации.</w:t>
      </w:r>
    </w:p>
    <w:p w14:paraId="04263EF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Результатами регистрационных испытаний пестицидов и агрохимикатов признаются:</w:t>
      </w:r>
    </w:p>
    <w:p w14:paraId="4A4B140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регистрационных испытаний пестицидов и агрохимикатов, полученные от юридических лиц, которые имеют необходимое для этого научное и материально-техническое обеспечение, специалистов соответствующего профиля и квалификации и допущены Минсельхозом России к проведению данных испытаний;</w:t>
      </w:r>
    </w:p>
    <w:p w14:paraId="3D4C192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неклинических лабораторных исследований пестицида, полученные в российских испытательных лабораториях (центрах), признанных соответствующими принципам надлежащей лабораторной практики &lt;5&gt;.</w:t>
      </w:r>
    </w:p>
    <w:p w14:paraId="2B6DA10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7C70AF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 Часть 2 статьи 9 Федерального закона от 19 июля 1997 г. N 109-ФЗ "О безопасном обращении с пестицидами и агрохимикатами".</w:t>
      </w:r>
    </w:p>
    <w:p w14:paraId="19FC90E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4ED7D7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числа документов, приложенных к заявлениям на организацию и проведение экспертизы результатов регистрационных испытаний и регламентов применения пестицида или агрохимиката, определяет перечень документов конфиденциального характера, содержание которых в соответствии с законодательством Российской Федерации составляет коммерческую тайну, помечая их грифом "конфиденциально". Минсельхоз России создает условия, обеспечивающие соблюдение конфиденциальности информации, составляющей коммерческую тайну.</w:t>
      </w:r>
    </w:p>
    <w:p w14:paraId="30BB0D4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Документация по результатам регистрационных испытаний пестицида и (или) агрохимиката, а также материалы по дополнительным запросам экспертов Минсельхоза России, хранятся в архиве Минсельхоза России.</w:t>
      </w:r>
    </w:p>
    <w:p w14:paraId="12F8284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отказа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государственной регистрации пестицида или агрохимиката указанная документация подлежит возврату Минсельхозом России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его письменному запросу.</w:t>
      </w:r>
    </w:p>
    <w:p w14:paraId="552E892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FA68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III. Государственная регистрация</w:t>
      </w:r>
    </w:p>
    <w:p w14:paraId="0BB5813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пестицидов и агрохимикатов</w:t>
      </w:r>
    </w:p>
    <w:p w14:paraId="4D29BB9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0F8A8B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Минсельхоз России вносит зарегистрированный пестицид или агрохимикат в Государственный каталог пестицидов и агрохимикатов, разрешенных к применению на территории Российской Федерации, с указанием срока действия государственной регистрации и регламентов применения пестицида или агрохимиката согласно свидетельству о государственной регистрации пестицида и (или) агрохимиката или дополнению к нему, выданному Минсельхозом России &lt;6&gt;.</w:t>
      </w:r>
    </w:p>
    <w:p w14:paraId="5042D0C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2E50842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 Абзац 4 статьи 12 Федерального закона от 19 июля 1997 г. N 109-ФЗ "О безопасном обращении с пестицидами и агрохимикатами".</w:t>
      </w:r>
    </w:p>
    <w:p w14:paraId="61EA19B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A5E7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Минсельхоз России ведет Государственный каталог пестицидов и агрохимикатов, разрешенных к применению на территории Российской Федерации, на официальном сайте Минсельхоза России в информационно-телекоммуникационной сети "Интернет" (</w:t>
      </w:r>
      <w:hyperlink r:id="rId12" w:history="1">
        <w:r>
          <w:rPr>
            <w:rFonts w:ascii="Times New Roman" w:hAnsi="Times New Roman" w:cs="Times New Roman"/>
            <w:sz w:val="24"/>
            <w:szCs w:val="24"/>
          </w:rPr>
          <w:t>www.mcx.ru</w:t>
        </w:r>
      </w:hyperlink>
      <w:r>
        <w:rPr>
          <w:rFonts w:ascii="Times New Roman" w:hAnsi="Times New Roman" w:cs="Times New Roman"/>
          <w:sz w:val="24"/>
          <w:szCs w:val="24"/>
        </w:rPr>
        <w:t>) &lt;7&gt;.</w:t>
      </w:r>
    </w:p>
    <w:p w14:paraId="76380B1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5F0F8E2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 Часть 5 статьи 12 Федерального закона от 19 июля 1997 г. N 109-ФЗ "О безопасном обращении с пестицидами и агрохимикатами", подпункт 5.2.25(65) пункта 5 Положения о Министерстве сельского хозяйства Российской Федерации, утвержденного постановлением Правительства Российской Федерации от 12 июня 2008 г. N 450.</w:t>
      </w:r>
    </w:p>
    <w:p w14:paraId="72CCA18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5D25C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Пестицид и (или) агрохимикат исключаются из Государственного каталога пестицидов и агрохимикатов, разрешенных к применению на территории Российской Федерации или срок государственной регистрации и регламенты их применения сокращаются до истечения срока государственной регистрации, если при их обороте выявлены ранее неизвестные опасные для здоровья людей или окружающей среды свойства.</w:t>
      </w:r>
    </w:p>
    <w:p w14:paraId="237E776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Исключение пестицида и (или) агрохимиката из Государственного каталога пестицидов и агрохимикатов, разрешенных к применению на территории Российской Федерации, или сокращение регламентов их применения и (или) срока государственной регистрации путем выдачи нового свидетельства о государственной регистрации пестицида и (или) агрохимиката осуществляется Минсельхозом России на основании заключения санитарно-эпидемиологической экспертизы пестицида или агрохимиката и (или) заключения государственной экологической экспертизы проекта технической документации на пестицид </w:t>
      </w:r>
      <w:r>
        <w:rPr>
          <w:rFonts w:ascii="Times New Roman" w:hAnsi="Times New Roman" w:cs="Times New Roman"/>
          <w:sz w:val="24"/>
          <w:szCs w:val="24"/>
        </w:rPr>
        <w:lastRenderedPageBreak/>
        <w:t>или агрохимикат, в которых выявлены ранее неизвестные, опасные для здоровья людей или окружающей среды, свойства.</w:t>
      </w:r>
    </w:p>
    <w:p w14:paraId="45B7111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Пестициды и агрохимикаты включаются в Государственный каталог пестицидов и агрохимикатов, разрешенных к применению на территории Российской Федерации, на основании свидетельства о государственной регистрации пестицида и (или) агрохимиката, изменения вносятся в Государственный каталог пестицидов и агрохимикатов на основании дополнения к свидетельству о государственной регистрации пестицида или агрохимиката об изменении сферы применения и (или) регламентов применения пестицида или агрохимиката в течение 14 рабочих дней со дня подписания соответствующего свидетельства или дополнения к свидетельству.</w:t>
      </w:r>
    </w:p>
    <w:p w14:paraId="1B17906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Исключение пестицидов и агрохимикатов из Государственного каталога пестицидов и агрохимикатов, разрешенных к применению на территории Российской Федерации, осуществляется в течение 14 рабочих дней со дня получения Минсельхозом России заключения санитарно-эпидемиологической экспертизы пестицида или агрохимиката и (или) заключения государственной экологической экспертизы проекта технической документации на пестицид или агрохимикат либо с момента окончания срока государственной регистрации пестицида и (или) агрохимиката.</w:t>
      </w:r>
    </w:p>
    <w:p w14:paraId="720C5CB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ED93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F0C88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90AC8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F4F5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33DF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14:paraId="346C9DD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государственной регистрации</w:t>
      </w:r>
    </w:p>
    <w:p w14:paraId="45EF558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пестицидов и агрохимикатов</w:t>
      </w:r>
    </w:p>
    <w:p w14:paraId="09B03C5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870F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63E34C0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5"/>
        <w:gridCol w:w="5255"/>
        <w:gridCol w:w="1891"/>
      </w:tblGrid>
      <w:tr w:rsidR="003532AF" w14:paraId="7E57F492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E8E2F7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4F9A2D08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E72E3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- наименование,</w:t>
            </w:r>
          </w:p>
        </w:tc>
      </w:tr>
      <w:tr w:rsidR="003532AF" w14:paraId="696C57EA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BE5915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446E7E10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C758B50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- ОГРН), адрес в пределах нахождения юридического лица, телефон, факс (при наличии), адрес электронной почты (при наличии),</w:t>
            </w:r>
          </w:p>
        </w:tc>
      </w:tr>
      <w:tr w:rsidR="003532AF" w14:paraId="03AB1F84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70B58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1F679F46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E4B7AF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фамилия, имя, отчество (при наличии), основной государственный регистрационный номер для индивидуального предпринимателя (далее - ОГРНИП),</w:t>
            </w:r>
          </w:p>
        </w:tc>
      </w:tr>
      <w:tr w:rsidR="003532AF" w14:paraId="3140B180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60D14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33C98343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6514C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жительства, пребывания, телефон, факс (при наличии), адрес электронной почты (при наличии)</w:t>
            </w:r>
          </w:p>
        </w:tc>
      </w:tr>
      <w:tr w:rsidR="003532AF" w14:paraId="02F4F35B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BD7316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50D4BD9A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88DCE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пестициде</w:t>
            </w:r>
          </w:p>
        </w:tc>
      </w:tr>
      <w:tr w:rsidR="003532AF" w14:paraId="56CEA8FB" w14:textId="77777777">
        <w:tblPrEx>
          <w:tblCellMar>
            <w:top w:w="0" w:type="dxa"/>
            <w:bottom w:w="0" w:type="dxa"/>
          </w:tblCellMar>
        </w:tblPrEx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7A9C66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619FA9F1" w14:textId="77777777">
        <w:tblPrEx>
          <w:tblCellMar>
            <w:top w:w="0" w:type="dxa"/>
            <w:bottom w:w="0" w:type="dxa"/>
          </w:tblCellMar>
        </w:tblPrEx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57A4D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A1C301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пестицида)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</w:tcPr>
          <w:p w14:paraId="57C2A779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476C5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47E7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сведения.</w:t>
      </w:r>
    </w:p>
    <w:p w14:paraId="0D44061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1.1. Наименование препарата.</w:t>
      </w:r>
    </w:p>
    <w:p w14:paraId="05AAE4B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Изготовитель (указывается для юридического лица - наименование изготовителя, ОГРН, адрес в пределах нахождения юридического лица, телефон, факс (при наличии), адрес электронной почты (при наличии); для физического лица - фамилия, имя, отчество (при наличии), ОГРНИП, адрес регистрации по месту жительства, пребывания, телефон, факс (при наличии), адрес электронной почты (при наличии).</w:t>
      </w:r>
    </w:p>
    <w:p w14:paraId="081629F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Назначение препарата.</w:t>
      </w:r>
    </w:p>
    <w:p w14:paraId="555398A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Действующее вещество (согласно номенклатуре Международной организации по стандартизации (ИСО) или химическое название по классификации Международного союза теоретической и прикладной химии (ИЮПАК), номер идентификатора химического соединения (далее - ISO, IUPAC, N CAS соответственно) в соответствии с разделом 15 Решения Комиссии Таможенного союза от 28 мая 2010 г. N 299 "О применении санитарных мер в Таможенном союзе" (Официальный сайт Комиссии Таможенного союза </w:t>
      </w:r>
      <w:hyperlink r:id="rId13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>, 28 июня 2010 г.) &lt;8&gt;.</w:t>
      </w:r>
    </w:p>
    <w:p w14:paraId="03142EE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38587E3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С изменениями, внесенными решениями Комиссии Таможенного союза от 17 августа 2010 г. N 341 (официальный сайт Комиссии Таможенного союза </w:t>
      </w:r>
      <w:hyperlink r:id="rId14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23 августа 2010 г.), от 20 сентября 2010 г. N 383 (официальный сайт Комиссии Таможенного союза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21 сентября 2010 г.), от 14 октября 2010 г. N 432 (официальный сайт Комиссии Таможенного союза </w:t>
      </w:r>
      <w:hyperlink r:id="rId16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22 октября 2010 г.), от 18 ноября 2010 г. N 456 (официальный сайт Комиссии Таможенного союза </w:t>
      </w:r>
      <w:hyperlink r:id="rId17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22 ноября 2010 г.), от 2 марта 2011 г. N 566 (официальный сайт Комиссии Таможенного союза </w:t>
      </w:r>
      <w:hyperlink r:id="rId18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9 марта 2011 г.), от 2 марта 2011 г. N 567 (официальный сайт Комиссии Таможенного союза </w:t>
      </w:r>
      <w:hyperlink r:id="rId19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9 марта 2011 г.), от 2 марта 2011 г. N 571 (официальный сайт Комиссии Таможенного союза </w:t>
      </w:r>
      <w:hyperlink r:id="rId20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9 марта 2011 г.), от 7 апреля 2011 г. N 622 (Официальный сайт Комиссии Таможенного союза </w:t>
      </w:r>
      <w:hyperlink r:id="rId21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26 апреля 2011 г.), от 18 октября 2011 г. N 828 (Официальный сайт Комиссии Таможенного союза </w:t>
      </w:r>
      <w:hyperlink r:id="rId22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21 октября 2011 г.), от 18 октября 2011 г. N 829 (официальный сайт Комиссии Таможенного союза </w:t>
      </w:r>
      <w:hyperlink r:id="rId23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21 октября 2011 г.), от 9 декабря 2011 г. N 859 (официальный сайт Комиссии Таможенного союза </w:t>
      </w:r>
      <w:hyperlink r:id="rId24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12 декабря 2011 г.), от 9 декабря 2011 г. N 888 (официальный сайт Комиссии Таможенного союза </w:t>
      </w:r>
      <w:hyperlink r:id="rId25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15 декабря 2011 г.), от 9 декабря 2011 г. N 889 (официальный сайт Комиссии Таможенного союза </w:t>
      </w:r>
      <w:hyperlink r:id="rId26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15 декабря 2011 г.), решениями Коллегии Евразийской экономической комиссии от 19 апреля 2012 г. N 34 (официальный сайт Комиссии Таможенного союза </w:t>
      </w:r>
      <w:hyperlink r:id="rId27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29 апреля 2012 г.), от 16 августа 2012 г. N 125 (официальный сайт Комиссии Таможенного союза </w:t>
      </w:r>
      <w:hyperlink r:id="rId28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16 августа 2012 г.), от 23 августа 2012 г. N 141 (официальный сайт Комиссии Таможенного союза </w:t>
      </w:r>
      <w:hyperlink r:id="rId29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23 августа 2012 г.), от 6 ноября 2012 г. N 208 (официальный сайт Комиссии Таможенного союза </w:t>
      </w:r>
      <w:hyperlink r:id="rId30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7 ноября 2012 г.), от 15 января 2013 г. N 6 (официальный сайт Комиссии Таможенного союза </w:t>
      </w:r>
      <w:hyperlink r:id="rId31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18 января 2013 г.), от 13 мая 2014 г. N 71 (официальный сайт Евразийской экономической комиссии </w:t>
      </w:r>
      <w:hyperlink r:id="rId32" w:history="1">
        <w:r>
          <w:rPr>
            <w:rFonts w:ascii="Times New Roman" w:hAnsi="Times New Roman" w:cs="Times New Roman"/>
            <w:sz w:val="24"/>
            <w:szCs w:val="24"/>
          </w:rPr>
          <w:t>http://www.eurasiancommission.org/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14 мая 2014 г.), от 7 июля 2014 г. N 101 (официальный сайт Евразийской экономической комиссии </w:t>
      </w:r>
      <w:hyperlink r:id="rId33" w:history="1">
        <w:r>
          <w:rPr>
            <w:rFonts w:ascii="Times New Roman" w:hAnsi="Times New Roman" w:cs="Times New Roman"/>
            <w:sz w:val="24"/>
            <w:szCs w:val="24"/>
          </w:rPr>
          <w:t>http://www.eurasiancommission.org/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7 июля 2014 г.), от 18 ноября 2014 г. N 209 (официальный сайт Евразийской экономической комиссии </w:t>
      </w:r>
      <w:hyperlink r:id="rId34" w:history="1">
        <w:r>
          <w:rPr>
            <w:rFonts w:ascii="Times New Roman" w:hAnsi="Times New Roman" w:cs="Times New Roman"/>
            <w:sz w:val="24"/>
            <w:szCs w:val="24"/>
          </w:rPr>
          <w:t>http://www.eurasiancommission.org/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18 ноября 2014 г.), от 10 ноября 2015 г. N 149 (официальный сайт Евразийского экономического союза </w:t>
      </w:r>
      <w:hyperlink r:id="rId35" w:history="1">
        <w:r>
          <w:rPr>
            <w:rFonts w:ascii="Times New Roman" w:hAnsi="Times New Roman" w:cs="Times New Roman"/>
            <w:sz w:val="24"/>
            <w:szCs w:val="24"/>
          </w:rPr>
          <w:t>http://www.eaeunion.org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16 ноября 2015 г.), от 8 декабря 2015 г. N 162 (официальный сайт Евразийского экономического союза </w:t>
      </w:r>
      <w:hyperlink r:id="rId36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9 декабря 2015 г.), от 25 октября 2016 г. N 118 (официальный сайт Евразийского экономического союза </w:t>
      </w:r>
      <w:hyperlink r:id="rId37" w:history="1">
        <w:r>
          <w:rPr>
            <w:rFonts w:ascii="Times New Roman" w:hAnsi="Times New Roman" w:cs="Times New Roman"/>
            <w:sz w:val="24"/>
            <w:szCs w:val="24"/>
          </w:rPr>
          <w:t>http://www.eaeunion.org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/, 27 октября 2016 г.), от 30 июня 2017 г. N 80 (официальный сайт Евразийского экономического союза </w:t>
      </w:r>
      <w:hyperlink r:id="rId38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4 июля 2017 г.), от 29 августа 2017 г. N 107 (официальный сайт Евразийского экономического союза </w:t>
      </w:r>
      <w:hyperlink r:id="rId39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31 августа 2017 г.), от 23 января 2018 г. N 12 (официальный сайт Евразийского экономического союза </w:t>
      </w:r>
      <w:hyperlink r:id="rId40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26 января 2018 г.), от 10 мая 2018 г. N 76 (официальный сайт Евразийского экономического союза </w:t>
      </w:r>
      <w:hyperlink r:id="rId41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14 мая 2018 г.), от 21 мая 2019 г. N 78 (официальный сайт Евразийского экономического союза </w:t>
      </w:r>
      <w:hyperlink r:id="rId42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24 мая 2019 г.), от 8 сентября 2020 г. N 106 (официальный сайт Евразийского экономического союза </w:t>
      </w:r>
      <w:hyperlink r:id="rId43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от 8 сентября 2020 г. N 107 (официальный сайт Евразийского экономического союза </w:t>
      </w:r>
      <w:hyperlink r:id="rId44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14 сентября 2020 г.), решениями Совета Евразийской экономической комиссии от 15 июня 2012 г. N 36 (официальный сайт Комиссии Таможенного союза </w:t>
      </w:r>
      <w:hyperlink r:id="rId45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18 июня 2012 г.), от 15 июня 2012 г. N 37 (официальный сайт Комиссии Таможенного союза </w:t>
      </w:r>
      <w:hyperlink r:id="rId46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18 июня 2012 г.), от 24 августа 2012 г. N 73 (официальный сайт Комиссии Таможенного союза </w:t>
      </w:r>
      <w:hyperlink r:id="rId47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24 августа 2012 г.), от 17 декабря 2012 г. N 114 (официальный сайт Комиссии Таможенного союза </w:t>
      </w:r>
      <w:hyperlink r:id="rId48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18 декабря 2012 г.), от 17 декабря 2012 г. N 115 (официальный сайт Комиссии Таможенного союза </w:t>
      </w:r>
      <w:hyperlink r:id="rId49" w:history="1">
        <w:r>
          <w:rPr>
            <w:rFonts w:ascii="Times New Roman" w:hAnsi="Times New Roman" w:cs="Times New Roman"/>
            <w:sz w:val="24"/>
            <w:szCs w:val="24"/>
          </w:rPr>
          <w:t>http://www.tsouz.ru/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18 декабря 2012 г.), от 18 сентября 2014 г. N 78 (официальный сайт Евразийской экономической комиссии </w:t>
      </w:r>
      <w:hyperlink r:id="rId50" w:history="1">
        <w:r>
          <w:rPr>
            <w:rFonts w:ascii="Times New Roman" w:hAnsi="Times New Roman" w:cs="Times New Roman"/>
            <w:sz w:val="24"/>
            <w:szCs w:val="24"/>
          </w:rPr>
          <w:t>http://www.eurasiancommission.org/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6 октября 2014 г.), от 2 декабря 2015 г. N 82 (официальный сайт Евразийского экономического союза </w:t>
      </w:r>
      <w:hyperlink r:id="rId51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23 декабря 2015 г.), от 16 февраля 2018 г. N 5 (официальный сайт Евразийского экономического союза </w:t>
      </w:r>
      <w:hyperlink r:id="rId52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16 февраля 2018 г.), от 14 июня 2018 г. N 64 (официальный сайт Евразийского экономического союза </w:t>
      </w:r>
      <w:hyperlink r:id="rId53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31 июля 2018 г.), от 22 февраля 2019 г. N 8 (официальный сайт Евразийского экономического союза </w:t>
      </w:r>
      <w:hyperlink r:id="rId54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12 марта 2019 г.), от 9 сентября 2019 г. N 97 (официальный сайт Евразийского экономического союза </w:t>
      </w:r>
      <w:hyperlink r:id="rId55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7 октября 2019 г.), от 4 сентября 2020 г. N 65 (официальный сайт Евразийского экономического союза </w:t>
      </w:r>
      <w:hyperlink r:id="rId56" w:history="1">
        <w:r>
          <w:rPr>
            <w:rFonts w:ascii="Times New Roman" w:hAnsi="Times New Roman" w:cs="Times New Roman"/>
            <w:sz w:val="24"/>
            <w:szCs w:val="24"/>
          </w:rPr>
          <w:t>http://www.eaeunion.org/</w:t>
        </w:r>
      </w:hyperlink>
      <w:r>
        <w:rPr>
          <w:rFonts w:ascii="Times New Roman" w:hAnsi="Times New Roman" w:cs="Times New Roman"/>
          <w:sz w:val="24"/>
          <w:szCs w:val="24"/>
        </w:rPr>
        <w:t>, 11 сентября 2020 г.). Является обязательным для Российской Федерации в соответствии с Договором об учреждении Евразийского экономического сообщества от 10 октября 2000 г. (Собрание законодательства Российской Федерации, 2002, N 7, ст. 632); Договором о Евразийском экономическом союзе от 29 мая 2014 г., ратифицированным Федеральным законом от 3 октября 2014 г. N 279-ФЗ "О ратификации Договора о Евразийском экономическом союзе" (Собрание законодательства Российской Федерации, 2014, N 40, ст. 5310).</w:t>
      </w:r>
    </w:p>
    <w:p w14:paraId="35EF724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F09C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Химический класс действующего вещества.</w:t>
      </w:r>
    </w:p>
    <w:p w14:paraId="7C26A27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Концентрация действующего вещества (в г/л или г/кг).</w:t>
      </w:r>
    </w:p>
    <w:p w14:paraId="71333ED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форма.</w:t>
      </w:r>
    </w:p>
    <w:p w14:paraId="55FDA95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Паспорт безопасности (для пестицидов отечественного производства), лист безопасности (для пестицидов зарубежного производства).</w:t>
      </w:r>
    </w:p>
    <w:p w14:paraId="7F578C6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1.9. Нормативная и (или) техническая документация для препаратов, производимых на территории Российской Федерации.</w:t>
      </w:r>
    </w:p>
    <w:p w14:paraId="5CB35FE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1.10. Разрешение изготовителя препарата представлять его для регистрации (в случае если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является сам изготовитель).</w:t>
      </w:r>
    </w:p>
    <w:p w14:paraId="687227C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Разрешение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регистранту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представлять изготовителя (для микробиологических препаратов).</w:t>
      </w:r>
    </w:p>
    <w:p w14:paraId="7E6C225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 Регистрация в других странах (номер регистрационного удостоверения, дата выдачи, сфера и регламенты применения).</w:t>
      </w:r>
    </w:p>
    <w:p w14:paraId="156DDD17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7767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Сведения по оценке биологической эффективности, безопасности препарата.</w:t>
      </w:r>
    </w:p>
    <w:p w14:paraId="2918E5D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Спектр действия.</w:t>
      </w:r>
    </w:p>
    <w:p w14:paraId="3B3703F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Сфера применения (культуры, вредные объекты (с латинскими названиями) или назначение.</w:t>
      </w:r>
    </w:p>
    <w:p w14:paraId="489FC27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Рекомендуемые регламенты применения: срок проведения обработок, фаза развития защищаемой культуры, фаза развития (стадия) вредного организма, кратность обработок, интервал между обработками.</w:t>
      </w:r>
    </w:p>
    <w:p w14:paraId="33F34D3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Рекомендуемая норма расхода и способ применения.</w:t>
      </w:r>
    </w:p>
    <w:p w14:paraId="17E6A4A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Рекомендуемый срок ожидания (в днях до сбора урожая).</w:t>
      </w:r>
    </w:p>
    <w:p w14:paraId="06477AC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Вид (механизм) действия на вредные организмы (системный, контактный).</w:t>
      </w:r>
    </w:p>
    <w:p w14:paraId="7F3EE60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Период защитного действия.</w:t>
      </w:r>
    </w:p>
    <w:p w14:paraId="2B0BBFC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Селективность.</w:t>
      </w:r>
    </w:p>
    <w:p w14:paraId="7CC8633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Скорость воздействия.</w:t>
      </w:r>
    </w:p>
    <w:p w14:paraId="2E9445B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Совместимость с другими препаратами.</w:t>
      </w:r>
    </w:p>
    <w:p w14:paraId="0942A76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Биологическая эффективность (лабораторные и вегетационные опыты, полевые опыты).</w:t>
      </w:r>
    </w:p>
    <w:p w14:paraId="5D1C661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Фитотоксичность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толерантность защищаемых культур.</w:t>
      </w:r>
    </w:p>
    <w:p w14:paraId="25866EF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Возможность возникновения резистентности.</w:t>
      </w:r>
    </w:p>
    <w:p w14:paraId="315C641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Возможность варьирования культур в севообороте.</w:t>
      </w:r>
    </w:p>
    <w:p w14:paraId="4079403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Результаты оценки биологической эффективности и безопасности в других странах (страна, защищаемая культура, вредный организм).</w:t>
      </w:r>
    </w:p>
    <w:p w14:paraId="06A25B9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Результаты определения остаточных количеств в других странах (в динамике).</w:t>
      </w:r>
    </w:p>
    <w:p w14:paraId="1DA0C49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2.17. Влияние препарата на полезную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энтомофауну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защищаемого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агроценоза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BA29DB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8831B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Физико-химические свойства.</w:t>
      </w:r>
    </w:p>
    <w:p w14:paraId="4BE73B7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E0970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Физико-химические свойства действующего вещества.</w:t>
      </w:r>
    </w:p>
    <w:p w14:paraId="430F934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Действующее вещество (по ISO, IUPAC, N CAS).</w:t>
      </w:r>
    </w:p>
    <w:p w14:paraId="4791140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Структурная формула (указать оптические изомеры).</w:t>
      </w:r>
    </w:p>
    <w:p w14:paraId="23BA600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 Эмпирическая формула.</w:t>
      </w:r>
    </w:p>
    <w:p w14:paraId="4002E6A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 Молекулярная масса.</w:t>
      </w:r>
    </w:p>
    <w:p w14:paraId="4A58578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 Агрегатное состояние.</w:t>
      </w:r>
    </w:p>
    <w:p w14:paraId="3A22F0B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 Цвет, запах.</w:t>
      </w:r>
    </w:p>
    <w:p w14:paraId="6978B2E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 Давление паров при температуре 20 градусов Цельсия и 40 градусов Цельсия.</w:t>
      </w:r>
    </w:p>
    <w:p w14:paraId="56744AB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 Растворимость в воде.</w:t>
      </w:r>
    </w:p>
    <w:p w14:paraId="46643A6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 Растворимость в органических растворителях.</w:t>
      </w:r>
    </w:p>
    <w:p w14:paraId="0E218A6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 Коэффициент распределения n-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октанол</w:t>
      </w:r>
      <w:proofErr w:type="spellEnd"/>
      <w:r>
        <w:rPr>
          <w:rFonts w:ascii="Times New Roman" w:hAnsi="Times New Roman" w:cs="Times New Roman"/>
          <w:sz w:val="24"/>
          <w:szCs w:val="24"/>
        </w:rPr>
        <w:t>/вода.</w:t>
      </w:r>
    </w:p>
    <w:p w14:paraId="37C6D34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3.1.11. Температура плавления.</w:t>
      </w:r>
    </w:p>
    <w:p w14:paraId="61A51AE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3.1.12. Температура кипения и замерзания.</w:t>
      </w:r>
    </w:p>
    <w:p w14:paraId="1606A36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3.1.13. Температура вспышки и воспламенения.</w:t>
      </w:r>
    </w:p>
    <w:p w14:paraId="17B888A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3.1.14. Стабильность в водных растворах (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5, 7, 9) при температуре 20 градусов Цельсия.</w:t>
      </w:r>
    </w:p>
    <w:p w14:paraId="1D604D4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3.1.15. Плотность (в случае газообразного состояния вещества плотность указать при температуре 0 градусов Цельсия и 760 миллиметров ртутного столба (далее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мм.рт.ст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1280B2D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59E87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Физико-химические свойства технического продукта.</w:t>
      </w:r>
    </w:p>
    <w:p w14:paraId="0A3777C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Чистота технического продукта, качественный и количественный состав примесей.</w:t>
      </w:r>
    </w:p>
    <w:p w14:paraId="0CFA7AF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Агрегатное состояние.</w:t>
      </w:r>
    </w:p>
    <w:p w14:paraId="004B0FC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Цвет, запах.</w:t>
      </w:r>
    </w:p>
    <w:p w14:paraId="5AA8D67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 Температура плавления.</w:t>
      </w:r>
    </w:p>
    <w:p w14:paraId="1A37EA7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 Температура вспышки и воспламенения.</w:t>
      </w:r>
    </w:p>
    <w:p w14:paraId="6E2AED0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3.2.6. Плотность (в случае газообразного состояния вещества плотность указать при температуре 0 градусов Цельсия и 760 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рт.ст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7FD369B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3.2.7.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фотостабильность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8CC6A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Аналитический метод для определения чистоты технического продукта, а также аналитический метод, позволяющий определить состав продукта, изомеры, примеси и иные составляющие.</w:t>
      </w:r>
    </w:p>
    <w:p w14:paraId="6FAF22FB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DD75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Физико-химические свойства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формы.</w:t>
      </w:r>
    </w:p>
    <w:p w14:paraId="559A1A1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Агрегатное состояние.</w:t>
      </w:r>
    </w:p>
    <w:p w14:paraId="13E6B74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Цвет, запах.</w:t>
      </w:r>
    </w:p>
    <w:p w14:paraId="1511BBA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Стабильность водной эмульсии или суспензии.</w:t>
      </w:r>
    </w:p>
    <w:p w14:paraId="645859C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3.3.4.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C79AB1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3.3.5. Содержание влаги (%).</w:t>
      </w:r>
    </w:p>
    <w:p w14:paraId="52A4A1B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3.3.6. Вязкость.</w:t>
      </w:r>
    </w:p>
    <w:p w14:paraId="10DCAA9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3.3.7. Дисперсность.</w:t>
      </w:r>
    </w:p>
    <w:p w14:paraId="7C895D2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3.3.8. Плотность.</w:t>
      </w:r>
    </w:p>
    <w:p w14:paraId="3CC6F25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3.3.9. Размер частиц.</w:t>
      </w:r>
    </w:p>
    <w:p w14:paraId="374BB95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3.3.10. Смачиваемость.</w:t>
      </w:r>
    </w:p>
    <w:p w14:paraId="6F1302B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7"/>
      </w:tblGrid>
      <w:tr w:rsidR="003532AF" w14:paraId="6BC14FB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75D2AAF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КонсультантПлюс: примечание.</w:t>
            </w:r>
          </w:p>
          <w:p w14:paraId="5C3B588F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392C6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Нумерация подпунктов дана в соответствии с официальным текстом документа.</w:t>
            </w:r>
          </w:p>
        </w:tc>
      </w:tr>
    </w:tbl>
    <w:p w14:paraId="721D3E81" w14:textId="77777777" w:rsidR="003532AF" w:rsidRDefault="003532AF" w:rsidP="003532AF">
      <w:pPr>
        <w:autoSpaceDE w:val="0"/>
        <w:autoSpaceDN w:val="0"/>
        <w:adjustRightInd w:val="0"/>
        <w:spacing w:before="3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3.3.12. Температура кристаллизации, морозостойкость.</w:t>
      </w:r>
    </w:p>
    <w:p w14:paraId="66F3DF4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3.3.13. Летучесть.</w:t>
      </w:r>
    </w:p>
    <w:p w14:paraId="34C8E5A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3.3.14. Данные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слеживаемости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A2023F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3.3.15. Коррозионные свойства.</w:t>
      </w:r>
    </w:p>
    <w:p w14:paraId="5E10C02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3.3.16. Качественный и количественный состав примесей.</w:t>
      </w:r>
    </w:p>
    <w:p w14:paraId="43A96B7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3.3.17. Стабильность при хранении.</w:t>
      </w:r>
    </w:p>
    <w:p w14:paraId="558BB9DF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66887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 препарата.</w:t>
      </w:r>
    </w:p>
    <w:p w14:paraId="348DF8A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88D3CB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Химические препараты.</w:t>
      </w:r>
    </w:p>
    <w:p w14:paraId="2D31E44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Химическое название для каждой составной части согласно ISO, IUPAC, N CAS.</w:t>
      </w:r>
    </w:p>
    <w:p w14:paraId="6E0EF68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4.1.2. Функциональное значение составных частей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и их содержание.</w:t>
      </w:r>
    </w:p>
    <w:p w14:paraId="4F1422C8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7442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Микробиологические препараты. Сведения о составе и свойствах активного ингредиента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(бактериальных, грибных, вирусных,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микроспороидальных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препаратах на основе продуктов жизнедеятельности.</w:t>
      </w:r>
    </w:p>
    <w:p w14:paraId="2A4F2CF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7BF50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Свойства штамма-продуцента.</w:t>
      </w:r>
    </w:p>
    <w:p w14:paraId="4074522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4.2.1.1. Видовое название микроорганизма (латинское название).</w:t>
      </w:r>
    </w:p>
    <w:p w14:paraId="498093F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4.2.1.2. Номер или название штамма (изолята).</w:t>
      </w:r>
    </w:p>
    <w:p w14:paraId="64BA010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4.2.1.3. Источник выделения штамма.</w:t>
      </w:r>
    </w:p>
    <w:p w14:paraId="4EC5C17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-морфологические и биохимические свойства, тесты и критерии идентификации (указать также организацию, проведшую идентификацию).</w:t>
      </w:r>
    </w:p>
    <w:p w14:paraId="139B788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4.2.1.5. Патогенность или антагонизм по отношению к вредному объекту.</w:t>
      </w:r>
    </w:p>
    <w:p w14:paraId="4E6B906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4.2.1.6. Отличие от уже имеющихся штаммов данного вида (в том числе за рубежом).</w:t>
      </w:r>
    </w:p>
    <w:p w14:paraId="0F8FDCE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4.2.1.7. Отношение к фагам,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лизирующим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клетки других штаммов того же вида микроорганизмов.</w:t>
      </w:r>
    </w:p>
    <w:p w14:paraId="1D1AF5D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4.2.1.8. Способ, условия и состав сред для хранения штамма.</w:t>
      </w:r>
    </w:p>
    <w:p w14:paraId="2E571EF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4.2.1.9. Способ, условия и состав сред для размножения микроорганизмов. Для вирусов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микроспоридий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указывается характеристика специфического сырья для выращивания.</w:t>
      </w:r>
    </w:p>
    <w:p w14:paraId="5F4BB0F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4.2.1.10. Способ обнаружения микроорганизма в микробных ассоциациях окружающей среды и биоматериале.</w:t>
      </w:r>
    </w:p>
    <w:p w14:paraId="75D1A9C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4.2.1.11. Продукт, синтезируемый штаммом (химический состав, структурная формула, стабильность, метод определения остатков).</w:t>
      </w:r>
    </w:p>
    <w:p w14:paraId="076B4FA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4.2.1.12. Механизм действия на целевой объект.</w:t>
      </w:r>
    </w:p>
    <w:p w14:paraId="3ADA6B3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50F34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4.2.2.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формы.</w:t>
      </w:r>
    </w:p>
    <w:p w14:paraId="0490D44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4.2.2.1. Состав препарата: содержание действующего начала (титр живых клеток или продукта их жизнедеятельности, титр вирусных телец, включений), вспомогательных веществ и их назначение.</w:t>
      </w:r>
    </w:p>
    <w:p w14:paraId="432BEB6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4.2.2.2. Агрегатное состояние.</w:t>
      </w:r>
    </w:p>
    <w:p w14:paraId="06F298D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4.2.2.3. Смачиваемость.</w:t>
      </w:r>
    </w:p>
    <w:p w14:paraId="23DD984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4.2.2.4. Содержание влаги.</w:t>
      </w:r>
    </w:p>
    <w:p w14:paraId="07282D3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4.2.2.5. Содержание посторонней микрофлоры.</w:t>
      </w:r>
    </w:p>
    <w:p w14:paraId="2B5B8B1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4.2.2.6. Метод определения действующего начала.</w:t>
      </w:r>
    </w:p>
    <w:p w14:paraId="71F4EC9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4.2.2.7. Условия и сроки хранения.</w:t>
      </w:r>
    </w:p>
    <w:p w14:paraId="5C245B6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4.2.2.8. Способ приготовления рабочих растворов.</w:t>
      </w:r>
    </w:p>
    <w:p w14:paraId="79D276D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4.2.2.9. Совместимость с другими пестицидами и агрохимикатами.</w:t>
      </w:r>
    </w:p>
    <w:p w14:paraId="1A2732A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CF5BB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Токсиколого-гигиеническая характеристика.</w:t>
      </w:r>
    </w:p>
    <w:p w14:paraId="69FEE2B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C289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Токсикологическая характеристика действующего вещества (технический продукт).</w:t>
      </w:r>
    </w:p>
    <w:p w14:paraId="6EBD5BA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5.1.1. Острая пероральная токсичность. Летальная доза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в миллиграммах вещества на килограмм массы тела (далее - мг/кг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7172F8C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5.1.2. Острая кожная токсичность.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(мг/кг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62BDD62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5.1.3. Острая ингаляционная токсичность (в условиях динамического воздействия). Летальная концентрация (ЛК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7CDB8D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Клинические проявления острой интоксикации при всех путях поступления (пероральный,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ингаляционный).</w:t>
      </w:r>
    </w:p>
    <w:p w14:paraId="1A38D0B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5.1.5. Раздражающее действие на кожу и слизистые оболочки.</w:t>
      </w:r>
    </w:p>
    <w:p w14:paraId="10AB062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5.1.6. Замедленное нейротоксическое действие на курах (обязательно для фосфорорганических пестицидов, для других - при необходимости).</w:t>
      </w:r>
    </w:p>
    <w:p w14:paraId="0C1880B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5.1.7. Подострая пероральная токсичность (мг/кг или коэффициент кумуляции).</w:t>
      </w:r>
    </w:p>
    <w:p w14:paraId="230F48F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5.1.8. Подострая накожная токсичность (при необходимости) (мг/кг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1C7027E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5.1.9. Подострая ингаляционная токсичность (при необходимости) (мг/м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5B82E9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5.1.10. Сенсибилизирующее действие,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DF8CD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5.1.11. Хроническая токсичность (недействующий уровень воздействия) (мг/кг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7C2A692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1193C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Тератогенность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(недействующие уровни воздействия для матери и плода, в мг/кг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775E13C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5.1.14. Репродуктивная функция по методу двух поколений (недействующие уровни воздействия для родителей (матерей, отцов) и потомства в мг/кг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6F2989C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5.1.15. Мутагенность &lt;9&gt;.</w:t>
      </w:r>
    </w:p>
    <w:p w14:paraId="2797184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6A8AD07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&lt;9&gt; Приказ Роспотребнадзора от 1 августа 2006 г. N 225 "О санитарно-эпидемиологической экспертизе пестицидов и агрохимикатов".</w:t>
      </w:r>
    </w:p>
    <w:p w14:paraId="6A6CC81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5DAA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5.1.16. Метаболизм в организме млекопитающих, основные метаболиты, их токсичность,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E2E60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препаратов, используемых на кормовых культурах и в животноводстве, данные по экскреции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лактирующих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животных (указать путь выведения, накопления во внутренних органах и мышцах, возможность выделяться с молоком, основные метаболиты).</w:t>
      </w:r>
    </w:p>
    <w:p w14:paraId="5F9F89C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5.1.17. Стойкость и метаболизм в объектах окружающей среды, в том числе в сельскохозяйственных растениях (Т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и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90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676C04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5.1.18. Лимитирующий показатель вредного действия.</w:t>
      </w:r>
    </w:p>
    <w:p w14:paraId="14BB948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5.1.19. Допустимая суточная доза (далее - ДСД).</w:t>
      </w:r>
    </w:p>
    <w:p w14:paraId="7B3EAB8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5.1.20. Гигиенические нормативы в продуктах питания и объектах окружающей среды или научное обоснование нецелесообразности нормирования (представление материалов по обоснованию):</w:t>
      </w:r>
    </w:p>
    <w:p w14:paraId="2E465C3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максимально допустимый уровень (далее - МДУ) и/или временный максимально допустимый уровень (далее - ВМДУ) в продуктах питания и сельскохозяйственном сырье;</w:t>
      </w:r>
    </w:p>
    <w:p w14:paraId="5C4D6B0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предельно допустимая концентрация (далее - ПДК) в воде источников санитарно-бытового водопользования.</w:t>
      </w:r>
    </w:p>
    <w:p w14:paraId="211091D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разработке гигиенического норматива для воды водоемов могут приниматься данные по оценке влияния препарата на химический состав и процессы самоочищения водной среды, полученные в научно-исследовательском учреждении, проводящем рыбохозяйственную оценку пестицидов, при условии их проведения с использованием единых методических подходов;</w:t>
      </w:r>
    </w:p>
    <w:p w14:paraId="13B8915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ПДК в атмосферном воздухе (для препаратов, производимых на территории России);</w:t>
      </w:r>
    </w:p>
    <w:p w14:paraId="2AACB07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ориентировочно безопасный уровень воздействия (далее - ОБУВ) в атмосферном воздухе (при необходимости);</w:t>
      </w:r>
    </w:p>
    <w:p w14:paraId="3DF99FD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ПДК в воздухе рабочей зоны (для препаратов, производимых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фасующихся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территории России, и для импортируемых препаратов, обладающих выраженной ингаляционной опасностью);</w:t>
      </w:r>
    </w:p>
    <w:p w14:paraId="2C76BFB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ОБУВ в воздухе рабочей зоны (для остальных препаратов);</w:t>
      </w:r>
    </w:p>
    <w:p w14:paraId="62A4E46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ПДК для почвы (для стойких препаратов, обладающих выраженной способностью к миграции в сопредельные среды);</w:t>
      </w:r>
    </w:p>
    <w:p w14:paraId="6ADB545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ориентировочно допустимая концентрация (далее - ОДК) в почве для остальных препаратов.</w:t>
      </w:r>
    </w:p>
    <w:p w14:paraId="7B3EFF9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разработке гигиенического норматива для почвы могут приниматься данные по изучению поведения в почве, полученные в научно-исследовательском учреждении, проводящем экологическую оценку пестицидов, при условии их проведения с использованием единых методических подходов.</w:t>
      </w:r>
    </w:p>
    <w:p w14:paraId="3AE0456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5.1.21. Методические указания по определению остаточных количеств пестицидов (при необходимости метаболитов) в продуктах питания, объектах окружающей среды и биологических средах:</w:t>
      </w:r>
    </w:p>
    <w:p w14:paraId="48D382D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методические указания по определению остаточных количеств пестицидов (при необходимости метаболитов) в сельскохозяйственной продукции (продуктах ее переработки) и других растительных объектах;</w:t>
      </w:r>
    </w:p>
    <w:p w14:paraId="7550618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методические указания по определению остаточных количеств пестицидов (при необходимости метаболитов) в почве;</w:t>
      </w:r>
    </w:p>
    <w:p w14:paraId="27BB556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методические указания по определению остаточных количеств пестицидов (при необходимости метаболитов) в воде;</w:t>
      </w:r>
    </w:p>
    <w:p w14:paraId="58C95CD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методические указания по измерению концентраций пестицидов (при необходимости метаболитов) в воздухе;</w:t>
      </w:r>
    </w:p>
    <w:p w14:paraId="3FFC667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Методические указания по определению остаточных количеств пестицидов (при необходимости метаболитов) в биологических средах.</w:t>
      </w:r>
    </w:p>
    <w:p w14:paraId="50F30D4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5.1.22. Оценка опасности пестицида - данные рассмотрения на заседании группы экспертов Продовольственной и сельскохозяйственной организации ООН (далее - ФАО)/Всемирной организации здравоохранения (далее - ВОЗ), Европейского союза.</w:t>
      </w:r>
    </w:p>
    <w:p w14:paraId="17519C9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F1E68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Токсикологическая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формы.</w:t>
      </w:r>
    </w:p>
    <w:p w14:paraId="4B25014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5.2.1. Острая пероральная токсичность (крысы) -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,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крысы (мг/кг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65AE40B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5.2.2. Острая кожная токсичность.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(мг/кг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м.т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14:paraId="68F6142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5.2.3. Острая ингаляционная токсичность. ЛК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крысы (мг/м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37034A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5.2.4. Клинические проявления острой интоксикации при всех путях поступления (пероральный,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дермальный</w:t>
      </w:r>
      <w:proofErr w:type="spellEnd"/>
      <w:r>
        <w:rPr>
          <w:rFonts w:ascii="Times New Roman" w:hAnsi="Times New Roman" w:cs="Times New Roman"/>
          <w:sz w:val="24"/>
          <w:szCs w:val="24"/>
        </w:rPr>
        <w:t>, ингаляционный).</w:t>
      </w:r>
    </w:p>
    <w:p w14:paraId="42A0904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5.2.5. Раздражающее действие на кожу и слизистые оболочки.</w:t>
      </w:r>
    </w:p>
    <w:p w14:paraId="24CBFB0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5.2.6. Подострая пероральная токсичность (кумулятивные свойства, коэффициент кумуляции) для препаратов, производящихся на территории России.</w:t>
      </w:r>
    </w:p>
    <w:p w14:paraId="406A832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5.2.7. Сенсибилизирующее действие.</w:t>
      </w:r>
    </w:p>
    <w:p w14:paraId="513644C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5.2.8. Токсикологическая характеристика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(наполнители, эмульгаторы, стабилизаторы, растворители).</w:t>
      </w:r>
    </w:p>
    <w:p w14:paraId="29FAAAA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 наличия в составе пестицида веществ, способных значительно усилить токсическое действие по сравнению с действующим веществом,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данные по токсикологической оценке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пестицида могут быть расширены с учетом свойств действующего вещества и компонентов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формы, а также метаболизма.</w:t>
      </w:r>
    </w:p>
    <w:p w14:paraId="10712F9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3AAD48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Гигиеническая оценка производства и применения пестицидов.</w:t>
      </w:r>
    </w:p>
    <w:p w14:paraId="23169AA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5.3.1. Гигиеническая оценка реальной опасности (риска) воздействия пестицидов на население (оценка опасности для населения пищевых продуктов, полученных при применении пестицида; наличие остаточных количеств действующего вещества пестицида в исследуемых объектах изучается при максимально рекомендуемых нормах расхода и кратности обработок препаратом за 2 сезона в различных почвенно-климатических зонах).</w:t>
      </w:r>
    </w:p>
    <w:p w14:paraId="3538611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5.3.2. Для пестицидов, используемых для предпосевной обработки семян, до посева, сразу после посева, до цветения (плодово-ягодной культуры), по вегетирующим растениям (если последняя обработка проводится более чем за шестьдесят дней до уборки), остаточные количества действующих веществ препаратов определяют только в элементах урожая культуры.</w:t>
      </w:r>
    </w:p>
    <w:p w14:paraId="4EF1C0C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5.3.3. Для пестицидов, рекомендуемых к применению на кормовых культурах или культурах, зеленая масса которых может быть использована непосредственно на корм скоту, овощных и зеленных культурах открытого и закрытого грунта (сбор которых производится неоднократно за сезон) с целью установления сроков ожидания, обязательно изучение динамики разложения действующих веществ в зависимости от срока последней обработки.</w:t>
      </w:r>
    </w:p>
    <w:p w14:paraId="2B7DF4E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5.3.4. Для пестицидов, применяемых на маточниках, семенниках, в питомниках, на лекарственных, эфиромасличных культурах, сырье которых идет на получение индивидуальных веществ, на лекарственных и эфиромасличных культурах, которые убираются через год после обработки, декоративных культурах, изучение остаточных количеств действующих веществ препарата не требуется.</w:t>
      </w:r>
    </w:p>
    <w:p w14:paraId="1A281A0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5.3.5. Для пестицидов, применяемых на землях несельскохозяйственного пользования (в лесном хозяйстве, полосах отчуждения железных и шоссейных дорог и иных участках) с целью обоснования сроков безопасного выхода населения на обработанные площади, необходимо изучение остаточных количеств действующих веществ препаратов в урожае дикорастущей продукции (грибы, ягоды и иная продукция).</w:t>
      </w:r>
    </w:p>
    <w:p w14:paraId="0F7A700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5.3.6. Исследования по определению органолептических свойств и пищевой ценности сельскохозяйственной продукции растительного происхождения, выращенной при применении пестицидов, осуществляются по одному из представителей групп продукции (плодовые, ягодные, виноград, бахчевые, овощи, картофель), имеющему наибольшую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пестицидную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нагрузку (норма расхода, кратность обработки) и непосредственно употребляемому в пищу. В продуктах переработки (растительное масло, соки) указанные исследования проводятся при наличии остаточных количеств действующих веществ пестицидов в перерабатываемом сырье (семена, плоды, ягоды).</w:t>
      </w:r>
    </w:p>
    <w:p w14:paraId="6728AA5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5.3.7. Оценка опасности (риска) пестицида при поступлении с водой.</w:t>
      </w:r>
    </w:p>
    <w:p w14:paraId="1E1A9CE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уровней загрязнения воды поверхностных и подземных водоисточников в натурных условиях, в том числе в условиях личных подсобных хозяйств (далее - ЛПХ) при </w:t>
      </w:r>
      <w:r>
        <w:rPr>
          <w:rFonts w:ascii="Times New Roman" w:hAnsi="Times New Roman" w:cs="Times New Roman"/>
          <w:sz w:val="24"/>
          <w:szCs w:val="24"/>
        </w:rPr>
        <w:lastRenderedPageBreak/>
        <w:t>максимальных нормах расхода и кратности обработок (в соответствии с действующими методическими документами), или обоснование нецелесообразности проведения этих исследований.</w:t>
      </w:r>
    </w:p>
    <w:p w14:paraId="7E0100B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5.3.8. Оценка опасности для населения загрязнения атмосферного воздуха осуществляется, как правило, одновременно с проведением исследований, по гигиенической оценке, условий труда при применении пестицидов с учетом максимальных норм расхода. При этом устанавливаются величины сноса действующих веществ препаратов за пределы санитарно-защитных зон и зон санитарного разрыва.</w:t>
      </w:r>
    </w:p>
    <w:p w14:paraId="0786117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5.3.9. Оценка реальной опасности (риска) комплексного воздействия пестицидов на население путем расчета суммарного поступления пестицидов с продуктами, воздухом и водой.</w:t>
      </w:r>
    </w:p>
    <w:p w14:paraId="3D584B0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пестицидов 1, 2 классов опасности могут проводиться мониторинговые исследования их содержания в объектах окружающей среды.</w:t>
      </w:r>
    </w:p>
    <w:p w14:paraId="7F426A9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FD4AF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Гигиеническая оценка условий труда работающих при применении препаратов.</w:t>
      </w:r>
    </w:p>
    <w:p w14:paraId="3E8F0F7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Исследования проводятся в соответствии с действующими методическими документами с учетом технологии применения при максимальных нормах расхода препаратов и включают оценку риска для операторов, обоснование сроков безопасного выхода на обработанные пестицидами площади для проведения ручных и механизированных работ:</w:t>
      </w:r>
    </w:p>
    <w:p w14:paraId="11515CE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 штанговом опрыскивании полевых культур;</w:t>
      </w:r>
    </w:p>
    <w:p w14:paraId="796558B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вентиляторном опрыскивании садовых культур;</w:t>
      </w:r>
    </w:p>
    <w:p w14:paraId="40084B2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обработке культур авиационным способом;</w:t>
      </w:r>
    </w:p>
    <w:p w14:paraId="1938E54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при обработке культур в условиях защищенного грунта;</w:t>
      </w:r>
    </w:p>
    <w:p w14:paraId="36C085C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 обработке культур в условиях ЛПХ;</w:t>
      </w:r>
    </w:p>
    <w:p w14:paraId="12D9B50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при предпосевной обработке семян на заводах по протравливанию и в пунктах протравливания;</w:t>
      </w:r>
    </w:p>
    <w:p w14:paraId="4501D5A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при высеве семян, обработанных пестицидами (по показаниям с учетом класса опасности препарата, стойкости в почве, сферы применения);</w:t>
      </w:r>
    </w:p>
    <w:p w14:paraId="726E764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при фумигации;</w:t>
      </w:r>
    </w:p>
    <w:p w14:paraId="12BB8ED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 применении пестицидов с использованием других технологий.</w:t>
      </w:r>
    </w:p>
    <w:p w14:paraId="4064291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необходимых случаях приводится обоснование нецелесообразности проведения указанных исследований.</w:t>
      </w:r>
    </w:p>
    <w:p w14:paraId="5D8A61A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Гигиеническая оценка условий труда должна проводиться только при использовании техники и оборудования, прошедших гигиеническую оценку в установленном порядке.</w:t>
      </w:r>
    </w:p>
    <w:p w14:paraId="20D02F63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B6B0E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Гигиеническая оценка производства (в том числе фасовки) пестицидов на территории Российской Федерации основывается на анализе технической документации (технические условия, технические регламенты).</w:t>
      </w:r>
    </w:p>
    <w:p w14:paraId="14AD296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проведение лабораторных исследований по оценке производственной среды с аттестацией рабочих мест на всех технологических операциях.</w:t>
      </w:r>
    </w:p>
    <w:p w14:paraId="521ABAD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идентификация загрязнителей, оценка риска комплексного воздействия на работающих.</w:t>
      </w:r>
    </w:p>
    <w:p w14:paraId="667DF90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5.5.3. гигиеническая оценка оборудования, материалов, аспирационных систем.</w:t>
      </w:r>
    </w:p>
    <w:p w14:paraId="09C7939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5.5.4. расчет валовых выбросов и приземных концентраций.</w:t>
      </w:r>
    </w:p>
    <w:p w14:paraId="48756F4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5.5.5. оценка промышленных сточных вод; способы обезвреживания и утилизации отходов производства, тары.</w:t>
      </w:r>
    </w:p>
    <w:p w14:paraId="5C3AE0D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CF8C9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Токсикологическая оценка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микробиологического препарата.</w:t>
      </w:r>
    </w:p>
    <w:p w14:paraId="0A514E7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5.6.1. Острая пероральная токсичность (мыши, крысы) -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B8A8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5.6.2. Острая ингаляционная токсичность - ЛК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F88A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5.6.3. Раздражающее и резорбтивное (при необходимости) действие на кожу и слизистую оболочку.</w:t>
      </w:r>
    </w:p>
    <w:p w14:paraId="776A86D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Сенсибилизирующее действие.</w:t>
      </w:r>
    </w:p>
    <w:p w14:paraId="4CC4094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5.6.5. Кумулятивные свойства (для препаратов на основе продуктов жизнедеятельности микроорганизмов).</w:t>
      </w:r>
    </w:p>
    <w:p w14:paraId="17A59A2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5.6.6.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Дисбактериотическое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действие.</w:t>
      </w:r>
    </w:p>
    <w:p w14:paraId="47169E9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5.6.7. Состав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контаминантной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микрофлоры (для вирусных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микроспородиальных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препаратов) и данные по патогенности для теплокровных.</w:t>
      </w:r>
    </w:p>
    <w:p w14:paraId="49CE959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5.6.8. Отдаленные последействия (для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токсинсодержащих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препаратов): мутагенность (тест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Эймса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тератогенность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4E9FE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9EC3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Установление гигиенических регламентов использования и производства микробиологических препаратов.</w:t>
      </w:r>
    </w:p>
    <w:p w14:paraId="08C6C3E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5.7.1. Изучение остаточных количеств пестицида в динамике в случае необходимости гигиенического нормирования.</w:t>
      </w:r>
    </w:p>
    <w:p w14:paraId="4C56664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5.7.2. Гигиеническая оценка условий труда при применении препарата с учетом максимальных норм расхода и различных технологий.</w:t>
      </w:r>
    </w:p>
    <w:p w14:paraId="299ED18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закрытом грунте изучение условий труда проводится независимо от открытого грунта.</w:t>
      </w:r>
    </w:p>
    <w:p w14:paraId="4CD97ED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5.7.3. Обоснование необходимости и разработка гигиенических нормативов, обеспечивающих безопасность населения и работающих при производстве и применении пестицидов (при необходимости):</w:t>
      </w:r>
    </w:p>
    <w:p w14:paraId="4EE4B50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максимально допустимый уровень в продуктах питания;</w:t>
      </w:r>
    </w:p>
    <w:p w14:paraId="3702D2F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ПДК в воде источников санитарно-бытового водопользования;</w:t>
      </w:r>
    </w:p>
    <w:p w14:paraId="0263673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ПДК в воздухе рабочей зоны (для препаратов, производящихся на территории России);</w:t>
      </w:r>
    </w:p>
    <w:p w14:paraId="3A7C09B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ОБУВ и ПДК (для препаратов, производящихся на территории России) в атмосферном воздухе;</w:t>
      </w:r>
    </w:p>
    <w:p w14:paraId="438C9B2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ОБУВ в воздухе рабочей зоны (для зарубежных препаратов);</w:t>
      </w:r>
    </w:p>
    <w:p w14:paraId="0429EFF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ПДК для почвы (для стойких препаратов, способных к транслокации в растении и миграции в другие системы);</w:t>
      </w:r>
    </w:p>
    <w:p w14:paraId="57E73EF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ОДК в почве для остальных препаратов.</w:t>
      </w:r>
    </w:p>
    <w:p w14:paraId="5D67E6C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0CE74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 Токсикологическая оценка микроорганизма (бактерии, грибы).</w:t>
      </w:r>
    </w:p>
    <w:p w14:paraId="6810CB0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5.8.1. Патогенность (вирулентность, токсичность,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диссеминация) бактерий, грибов изучается на двух видах лабораторных животных при однократном внутрибрюшинном, внутрижелудочном введении, поступлении через верхние дыхательные пути и на слизистые оболочки глаз.</w:t>
      </w:r>
    </w:p>
    <w:p w14:paraId="674AD07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5.8.2. Действие микроорганизмов на иммунную систему (сенсибилизирующее, аллергенное,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иммунотоксическое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иммуномодулирующее) при поступлении через верхние дыхательные пути в течение одного месяца.</w:t>
      </w:r>
    </w:p>
    <w:p w14:paraId="3C2D6E0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E1FC5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Токсикологическая оценка продуктов микробного синтеза:</w:t>
      </w:r>
    </w:p>
    <w:p w14:paraId="399AAFF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5.9.1. Острая пероральная токсичность (мыши, крысы) -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, порог острого действия (для препаратов, производящихся на территории России).</w:t>
      </w:r>
    </w:p>
    <w:p w14:paraId="7E5D2AB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5.9.2. Острая кожная токсичность -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3D5B3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5.9.3. Острая ингаляционная токсичность - ЛД</w:t>
      </w:r>
      <w:r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>
        <w:rPr>
          <w:rFonts w:ascii="Times New Roman" w:hAnsi="Times New Roman" w:cs="Times New Roman"/>
          <w:sz w:val="24"/>
          <w:szCs w:val="24"/>
        </w:rPr>
        <w:t>. Порог острого действия (для препаратов, производящихся на территории России).</w:t>
      </w:r>
    </w:p>
    <w:p w14:paraId="67E2378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5.9.4. Клинические проявления острой интоксикации.</w:t>
      </w:r>
    </w:p>
    <w:p w14:paraId="6C7A413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5.9.5. Раздражающее действие на кожу и слизистые оболочки.</w:t>
      </w:r>
    </w:p>
    <w:p w14:paraId="2924B3C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5.9.6. Подострая пероральная токсичность (кумулятивные свойства), коэффициент кумуляции (для препаратов, производящихся на территории России).</w:t>
      </w:r>
    </w:p>
    <w:p w14:paraId="00116FD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5.9.7. Подострая накожная токсичность.</w:t>
      </w:r>
    </w:p>
    <w:p w14:paraId="37FCA52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5.9.8. Сенсибилизирующее действие,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258DAC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5.9.9. Хроническая токсичность (пороговые и неэффективные дозы).</w:t>
      </w:r>
    </w:p>
    <w:p w14:paraId="55CD02D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Онкогенность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(первичные обобщающие материалы - данные о частоте опухолей у подопытных животных в абсолютных значениях и по отношению к эффективному числу, количество опухолей на одно животное, количество и частота гистологических типов опухолей всех локализаций, метастазирование, выживаемость животных, коэффициент онкогенного риска, срок обнаружения первой опухоли, данные экспериментального и исторического контроля экспериментальных животных и иные данные).</w:t>
      </w:r>
    </w:p>
    <w:p w14:paraId="34F1EA9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Тератогенность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эмбриотоксичность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с использованием методических подходов, позволяющих выявить аномалии у плодов и токсичность для плода.</w:t>
      </w:r>
    </w:p>
    <w:p w14:paraId="3FC0599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5.9.12. Репродуктивная токсичность по методу двух поколений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гонадотоксичность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13A20C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5.9.13. Мутагенность.</w:t>
      </w:r>
    </w:p>
    <w:p w14:paraId="3E07E56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5.9.14. Метаболизм в организме млекопитающих, основные метаболиты, их токсичность,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токсикокинетика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при необходимости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токсикодинамика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F8975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5.9.15. Лимитирующий показатель токсичности.</w:t>
      </w:r>
    </w:p>
    <w:p w14:paraId="0ED2557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5.9.16. ДСД (мг/кг/вес тела человека).</w:t>
      </w:r>
    </w:p>
    <w:p w14:paraId="3625C24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5.9.17. Дополнительная информация.</w:t>
      </w:r>
    </w:p>
    <w:p w14:paraId="619ABD9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717C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Экологическая характеристика пестицида.</w:t>
      </w:r>
    </w:p>
    <w:p w14:paraId="760703C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29D4A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Экологическая характеристика действующего вещества.</w:t>
      </w:r>
    </w:p>
    <w:p w14:paraId="0DCEA91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38815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 Химические вещества.</w:t>
      </w:r>
    </w:p>
    <w:p w14:paraId="2EC7894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94C7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6.1.1.1. Поведение в окружающей среде.</w:t>
      </w:r>
    </w:p>
    <w:p w14:paraId="0C285B5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6.1.1.1.1. Поведение в почве:</w:t>
      </w:r>
    </w:p>
    <w:p w14:paraId="0345AD3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пути и скорость разложения: пути разложения, аэробное разложение, дополнительные исследования, скорость разложения;</w:t>
      </w:r>
    </w:p>
    <w:p w14:paraId="2313EEA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лабораторные исследования: аэробное, анаэробное разложение;</w:t>
      </w:r>
    </w:p>
    <w:p w14:paraId="4EB843C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полевые исследования: динамика исчезновения, остаточные количества, аккумуляция в почве;</w:t>
      </w:r>
    </w:p>
    <w:p w14:paraId="0E0E285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адсорбция и десорбция;</w:t>
      </w:r>
    </w:p>
    <w:p w14:paraId="502DE6F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подвижность в почве: лабораторные колоночные опыты; лабораторные колоночные опыты с "состаренными" остатками; лизиметрические исследования или полевые опыты по миграции.</w:t>
      </w:r>
    </w:p>
    <w:p w14:paraId="0C02AAB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6.1.1.1.2. Поведение в воде и воздухе:</w:t>
      </w:r>
    </w:p>
    <w:p w14:paraId="5D5CC4B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пути и скорость разложения в воде (гидролитическое разложение, фотохимическое разложение, биологическое разложение);</w:t>
      </w:r>
    </w:p>
    <w:p w14:paraId="4AF27E5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пути и скорость разложения в воздухе.</w:t>
      </w:r>
    </w:p>
    <w:p w14:paraId="53E5806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6.1.1.1.3. Методики определения остаточных количеств в почве, воде и воздухе.</w:t>
      </w:r>
    </w:p>
    <w:p w14:paraId="267B12F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6.1.1.1.4. Данные мониторинга.</w:t>
      </w:r>
    </w:p>
    <w:p w14:paraId="5A93154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A4EBB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CF37C8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6.1.1.2.1. Птицы: острая оральная токсичность; токсичность при скармливании; влияние на репродуктивность.</w:t>
      </w:r>
    </w:p>
    <w:p w14:paraId="53FE52D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6.1.1.2.2. Водные организмы:</w:t>
      </w:r>
    </w:p>
    <w:p w14:paraId="5EBBDFE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рыбы: острая токсичность; хроническая токсичность; влияние на репродуктивность и скорость развития;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биоаккумуляция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6888D7A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зоопланктон: острая токсичность; влияние на репродуктивность и скорость развития;</w:t>
      </w:r>
    </w:p>
    <w:p w14:paraId="64C56FB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водоросли: влияние на рост.</w:t>
      </w:r>
    </w:p>
    <w:p w14:paraId="055AAD3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6.1.1.2.3. Медоносные пчелы (полезные насекомые):</w:t>
      </w:r>
    </w:p>
    <w:p w14:paraId="02B427F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острая и хроническая контактная токсичность (при индивидуальном или групповом воздействии);</w:t>
      </w:r>
    </w:p>
    <w:p w14:paraId="546E1AC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острая и хроническая оральная токсичность (при индивидуальном или групповом вскармливании).</w:t>
      </w:r>
    </w:p>
    <w:p w14:paraId="1F061B4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6.1.1.2.4. Дождевые черви (нецелевые почвенные макроорганизмы):</w:t>
      </w:r>
    </w:p>
    <w:p w14:paraId="4851ABF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острая токсичность;</w:t>
      </w:r>
    </w:p>
    <w:p w14:paraId="003E100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сублетальные эффекты;</w:t>
      </w:r>
    </w:p>
    <w:p w14:paraId="67F976F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почвенные микроорганизмы;</w:t>
      </w:r>
    </w:p>
    <w:p w14:paraId="6856CCA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влияние на процессы минерализации углерода;</w:t>
      </w:r>
    </w:p>
    <w:p w14:paraId="64F738B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влияние на процессы трансформации азота;</w:t>
      </w:r>
    </w:p>
    <w:p w14:paraId="7B47372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нецелевые организмы флоры и фауны;</w:t>
      </w:r>
    </w:p>
    <w:p w14:paraId="761B538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влияние на биологические методы очистки вод.</w:t>
      </w:r>
    </w:p>
    <w:p w14:paraId="1160D1E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60DBF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 Микроорганизмы и вирусы.</w:t>
      </w:r>
    </w:p>
    <w:p w14:paraId="00E2644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E96D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6.1.2.1. Поведение в окружающей среде.</w:t>
      </w:r>
    </w:p>
    <w:p w14:paraId="7E5DB12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6.1.2.1.1. Распределение, стойкость, подвижность и размножение: почва, вода, воздух.</w:t>
      </w:r>
    </w:p>
    <w:p w14:paraId="6B617AC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6.1.2.1.2. Данные о возможной судьбе в пищевых цепях.</w:t>
      </w:r>
    </w:p>
    <w:p w14:paraId="15B0B5B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7B34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EE4779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6.1.2.2.1. Птицы: острая оральная токсичность, патогенность,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DCBBCE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6.1.2.2.2. Водные организмы: острая токсичность, патогенность,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C1BECC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6.1.2.2.3. Медоносные пчелы (полезные насекомые):</w:t>
      </w:r>
    </w:p>
    <w:p w14:paraId="76573A7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острая контактная токсичность, патогенность,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B6C20C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острая оральная токсичность, патогенность,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E32823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6.1.2.2.4. Дождевые черви (нецелевые почвенные макроорганизмы): острая токсичность, патогенность,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инфективность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2BAE8A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6.1.2.2.5. Почвенные микроорганизмы.</w:t>
      </w:r>
    </w:p>
    <w:p w14:paraId="577C12A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6.1.2.2.6. Дополнительные исследования.</w:t>
      </w:r>
    </w:p>
    <w:p w14:paraId="4DE37AA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E5A3E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Экологическая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формы.</w:t>
      </w:r>
    </w:p>
    <w:p w14:paraId="46CC933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39038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Химические вещества.</w:t>
      </w:r>
    </w:p>
    <w:p w14:paraId="7348CAE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DB61F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 Поведение в окружающей среде.</w:t>
      </w:r>
    </w:p>
    <w:p w14:paraId="1F609CC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6.2.1.1.1. Поведение в почве: оценка уровня концентраций действующего вещества и его миграции в почве.</w:t>
      </w:r>
    </w:p>
    <w:p w14:paraId="586C40A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6.2.1.1.2. Полевые опыты: динамика исчезновения действующего вещества, его остаточные количества, аккумуляция в почве.</w:t>
      </w:r>
    </w:p>
    <w:p w14:paraId="4BF870B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6.2.1.1.3. Полевые опыты по миграции или лизиметрические исследования.</w:t>
      </w:r>
    </w:p>
    <w:p w14:paraId="15095C4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6.2.1.1.4. Поведение в воде.</w:t>
      </w:r>
    </w:p>
    <w:p w14:paraId="2326A97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6.2.1.1.5. Оценка уровня концентраций действующего вещества в грунтовых водах, дополнительные полевые испытания.</w:t>
      </w:r>
    </w:p>
    <w:p w14:paraId="1D3F727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6.2.1.1.6. Оценка уровня концентраций действующего вещества в поверхностных водах, дополнительные полевые испытания.</w:t>
      </w:r>
    </w:p>
    <w:p w14:paraId="26167F2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6.2.1.1.7. Поведение в воздухе.</w:t>
      </w:r>
    </w:p>
    <w:p w14:paraId="481962D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F1EA9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6.2.1.2.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BC1487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6.2.1.2.1. Птицы.</w:t>
      </w:r>
    </w:p>
    <w:p w14:paraId="3106047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6.2.1.2.2. Острая оральная токсичность.</w:t>
      </w:r>
    </w:p>
    <w:p w14:paraId="4EE690D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6.2.1.2.3. Опыты в клетках и поле.</w:t>
      </w:r>
    </w:p>
    <w:p w14:paraId="7E4F5DB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6.2.1.2.4. Опасность для птиц ловушек, гранул и обработанных семян.</w:t>
      </w:r>
    </w:p>
    <w:p w14:paraId="45CC59D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6.2.1.2.5. Эффекты опосредованного отравления.</w:t>
      </w:r>
    </w:p>
    <w:p w14:paraId="4B9EF42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6.2.1.2.6. Водные организмы.</w:t>
      </w:r>
    </w:p>
    <w:p w14:paraId="2C0969B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6.2.1.2.7. Острая токсичность для рыб.</w:t>
      </w:r>
    </w:p>
    <w:p w14:paraId="00295A6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6.2.1.2.8. Острая токсичность для зоопланктона;</w:t>
      </w:r>
    </w:p>
    <w:p w14:paraId="4D7D57B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6.2.1.2.9. Оценка риска при непреднамеренной обработке поверхностных водоемов (сносе).</w:t>
      </w:r>
    </w:p>
    <w:p w14:paraId="5C99DEF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6.2.1.2.10. Специальные исследования с другими видами рыб.</w:t>
      </w:r>
    </w:p>
    <w:p w14:paraId="160BA4C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6.2.1.2.11. Медоносные пчелы (полезные насекомые).</w:t>
      </w:r>
    </w:p>
    <w:p w14:paraId="57BCB06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6.2.1.2.12. Острая и хроническая контактная токсичность (при индивидуальном или групповом воздействии).</w:t>
      </w:r>
    </w:p>
    <w:p w14:paraId="7CC8E21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6.2.1.2.13. Острая и хроническая оральная токсичность (при индивидуальном или групповом скармливании).</w:t>
      </w:r>
    </w:p>
    <w:p w14:paraId="4195A74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6.2.1.2.14.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Фумигантная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токсичность.</w:t>
      </w:r>
    </w:p>
    <w:p w14:paraId="253F276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6.2.1.2.15.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Репеллентная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активность.</w:t>
      </w:r>
    </w:p>
    <w:p w14:paraId="02D8A29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6.2.1.2.16. Продолжительность остаточного действия.</w:t>
      </w:r>
    </w:p>
    <w:p w14:paraId="4BE26FD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6.2.1.2.17. Токсичность и опасность в полевых условиях.</w:t>
      </w:r>
    </w:p>
    <w:p w14:paraId="48E8938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6.2.1.2.18. Дождевые черви (почвенные нецелевые макроорганизмы).</w:t>
      </w:r>
    </w:p>
    <w:p w14:paraId="1D704A0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6.2.1.2.19. Острая токсичность.</w:t>
      </w:r>
    </w:p>
    <w:p w14:paraId="77D5D4C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6.2.1.2.20. Сублетальные эффекты.</w:t>
      </w:r>
    </w:p>
    <w:p w14:paraId="61509A0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6.2.1.2.21. Токсичность в полевых условиях.</w:t>
      </w:r>
    </w:p>
    <w:p w14:paraId="6C31E02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6.2.1.2.22. Почвенные микроорганизмы.</w:t>
      </w:r>
    </w:p>
    <w:p w14:paraId="5071EBD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6.2.1.2.23. Влияние на процессы минерализации углерода.</w:t>
      </w:r>
    </w:p>
    <w:p w14:paraId="3D70D09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6.2.1.2.24. Влияние на процессы трансформации азота.</w:t>
      </w:r>
    </w:p>
    <w:p w14:paraId="2BFF5A5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6.2.1.2.25. Дополнительные тесты.</w:t>
      </w:r>
    </w:p>
    <w:p w14:paraId="7E39B6D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90E6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 Микроорганизмы и вирусы.</w:t>
      </w:r>
    </w:p>
    <w:p w14:paraId="4D1A889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7F14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Поведение в окружающей среде.</w:t>
      </w:r>
    </w:p>
    <w:p w14:paraId="7BEF655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F97D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6.2.4.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Экотоксикология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340054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6.2.4.1. Водные организмы.</w:t>
      </w:r>
    </w:p>
    <w:p w14:paraId="3A16E17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6.2.4.2. Медоносные пчелы (полезные насекомые).</w:t>
      </w:r>
    </w:p>
    <w:p w14:paraId="1AD44AF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6.2.4.3. Дождевые черви (нецелевые почвенные макроорганизмы).</w:t>
      </w:r>
    </w:p>
    <w:p w14:paraId="5D4C395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6.2.4.4. Почвенные микроорганизмы.</w:t>
      </w:r>
    </w:p>
    <w:p w14:paraId="5041DD5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6.2.4.5. Дополнительные исследования.</w:t>
      </w:r>
    </w:p>
    <w:p w14:paraId="09D4EE5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8"/>
        <w:gridCol w:w="6576"/>
      </w:tblGrid>
      <w:tr w:rsidR="003532AF" w14:paraId="5DE671BB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7EE4C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(при наличии)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0DB506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32C8BF69" w14:textId="77777777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6CA608DE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AF291B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руководителя организации</w:t>
            </w:r>
          </w:p>
        </w:tc>
      </w:tr>
    </w:tbl>
    <w:p w14:paraId="5A63E76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B02B9C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5E26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4C58DF" w14:textId="5A447CE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788662" w14:textId="7AC8169E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8B45D" w14:textId="73CC557C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F86000" w14:textId="53878D7B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B8B58" w14:textId="772D5DDF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7728FA" w14:textId="506BC720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2FB54" w14:textId="4030A426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62F75" w14:textId="5F275353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B47D5C" w14:textId="6139DC9B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10A45" w14:textId="0583A906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F80840" w14:textId="1461342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A78C8" w14:textId="42988ED6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AC7D15" w14:textId="01478A91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B7A93" w14:textId="57BA1F16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47717D" w14:textId="41D9862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FC536B" w14:textId="7B19141F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5EAD1" w14:textId="25AE09A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B50836" w14:textId="5C08D0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23EB2" w14:textId="779C07DB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64A8E" w14:textId="18C6F5F1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5D58D" w14:textId="5D6E4223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EC103B" w14:textId="20378745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D21C2" w14:textId="6314D216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CC8231" w14:textId="30AB505E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6F353" w14:textId="52219470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2BE9F7" w14:textId="4EBB72E9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B1B4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14:paraId="68C2B48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государственной регистрации</w:t>
      </w:r>
    </w:p>
    <w:p w14:paraId="1095A127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пестицидов и агрохимикатов</w:t>
      </w:r>
    </w:p>
    <w:p w14:paraId="5754086B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D3D40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5278E9C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4"/>
      </w:tblGrid>
      <w:tr w:rsidR="003532AF" w14:paraId="06A73A4D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AC5E38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0288AFE6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4590A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- наименование,</w:t>
            </w:r>
          </w:p>
        </w:tc>
      </w:tr>
      <w:tr w:rsidR="003532AF" w14:paraId="7475BACD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0C72C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151FE2F2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38C36D1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- ОГРН), адрес в пределах юридического лица, телефон, факс (при наличии), адрес электронной почты (при наличии);</w:t>
            </w:r>
          </w:p>
        </w:tc>
      </w:tr>
      <w:tr w:rsidR="003532AF" w14:paraId="7D66A706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20A6D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5710A6C6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622908F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фамилия, имя,</w:t>
            </w:r>
          </w:p>
        </w:tc>
      </w:tr>
      <w:tr w:rsidR="003532AF" w14:paraId="4AA4969C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DAD831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5DDAC269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32AB1A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наличии), основной государственный регистрационный номер для индивидуального предпринимателя (далее - ОГРНИП), адрес регистрации по месту жительства,</w:t>
            </w:r>
          </w:p>
        </w:tc>
      </w:tr>
      <w:tr w:rsidR="003532AF" w14:paraId="23EE19DE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184D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735A3207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630F9A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пребывания, телефон, факс (при наличии), адрес электронной почты (при наличии)</w:t>
            </w:r>
          </w:p>
        </w:tc>
      </w:tr>
      <w:tr w:rsidR="003532AF" w14:paraId="7893E24D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14:paraId="663E2164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0C70A68E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5D902B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агрохимикате</w:t>
            </w:r>
          </w:p>
        </w:tc>
      </w:tr>
      <w:tr w:rsidR="003532AF" w14:paraId="48C3F257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23C66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258C36A6" w14:textId="77777777">
        <w:tblPrEx>
          <w:tblCellMar>
            <w:top w:w="0" w:type="dxa"/>
            <w:bottom w:w="0" w:type="dxa"/>
          </w:tblCellMar>
        </w:tblPrEx>
        <w:tc>
          <w:tcPr>
            <w:tcW w:w="90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34D2EB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(указывается название агрохимиката)</w:t>
            </w:r>
          </w:p>
        </w:tc>
      </w:tr>
    </w:tbl>
    <w:p w14:paraId="0F193767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F2DA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Основные сведения:</w:t>
      </w:r>
    </w:p>
    <w:p w14:paraId="253650B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Наименование агрохимиката.</w:t>
      </w:r>
    </w:p>
    <w:p w14:paraId="2FC2F3B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Изготовитель (указывается для юридического лица - наименование изготовителя, ОГРН, адрес в пределах юридического лица, телефон, факс (при наличии), адрес электронной почты (при наличии); для физического лица - фамилия, имя, отчество (при наличии), ОГРНИП, адрес регистрации по месту жительства, пребывания, телефон, факс (при наличии), адрес электронной почты (при наличии).</w:t>
      </w:r>
    </w:p>
    <w:p w14:paraId="650C83A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Химическая группа агрохимиката. Область применения, назначение агрохимиката.</w:t>
      </w:r>
    </w:p>
    <w:p w14:paraId="2C23852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Рекомендуемые регламенты применения агрохимиката:</w:t>
      </w:r>
    </w:p>
    <w:p w14:paraId="69B7B05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культур, на которых планируется использование;</w:t>
      </w:r>
    </w:p>
    <w:p w14:paraId="46F5A40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сроки внесения агрохимиката;</w:t>
      </w:r>
    </w:p>
    <w:p w14:paraId="58A3260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нормы (дозы) и кратность внесения;</w:t>
      </w:r>
    </w:p>
    <w:p w14:paraId="05F74AF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технология применения и меры безопасности при применении.</w:t>
      </w:r>
    </w:p>
    <w:p w14:paraId="7B04A15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Паспорт безопасности (для агрохимикатов отечественного производства) или лист безопасности (для агрохимикатов зарубежного производства), протоколы испытаний продукции.</w:t>
      </w:r>
    </w:p>
    <w:p w14:paraId="7BADF00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 Регистрация в других странах (номер регистрационного удостоверения, дата выдачи и срок действия, назначение и регламенты применения).</w:t>
      </w:r>
    </w:p>
    <w:p w14:paraId="5ADF092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Нормативная и (или) техническая документация для агрохимикатов отечественного производства (для агрохимикатов на основе осадков сточных вод и отходов производства представляется техническая документация на осадки сточных вод и отходы).</w:t>
      </w:r>
    </w:p>
    <w:p w14:paraId="396EDC5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78770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Общие сведения:</w:t>
      </w:r>
    </w:p>
    <w:p w14:paraId="54E3B65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Качественный и количественный состав агрохимиката (основные и вспомогательные компоненты - для комбинированных агрохимикатов) (допускается приведение показателей качества из таблицы технических условий).</w:t>
      </w:r>
    </w:p>
    <w:p w14:paraId="3ED8168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форма (внешний вид).</w:t>
      </w:r>
    </w:p>
    <w:p w14:paraId="02E525D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Содержание токсичных и опасных веществ:</w:t>
      </w:r>
    </w:p>
    <w:p w14:paraId="2BE9790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тяжелых металлов и мышьяка (мг/кг): свинец, ртуть, кадмий и мышьяк (для минеральных удобрений,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мелиорантов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цеолитов, органических удобрений на основе торфа, известняковых материалов, сапропеля, осадков сточных вод, отходов промышленного производства и прочих объектов);</w:t>
      </w:r>
    </w:p>
    <w:p w14:paraId="36D5E0A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органических соединений (мг/кг);</w:t>
      </w:r>
    </w:p>
    <w:p w14:paraId="4618845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бенз</w:t>
      </w:r>
      <w:proofErr w:type="spellEnd"/>
      <w:r>
        <w:rPr>
          <w:rFonts w:ascii="Times New Roman" w:hAnsi="Times New Roman" w:cs="Times New Roman"/>
          <w:sz w:val="24"/>
          <w:szCs w:val="24"/>
        </w:rPr>
        <w:t>/а/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(мг/кг) (для агрохимикатов на основе отходов производства и сырья природного происхождения, находящегося в зоне возможного влияния выбросов промышленных предприятий, котельных и других объектов);</w:t>
      </w:r>
    </w:p>
    <w:p w14:paraId="3598F7D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радионуклидов естественного и техногенного происхождения (беккерель на килограмм (Бк/кг).</w:t>
      </w:r>
    </w:p>
    <w:p w14:paraId="486983F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Наличие патогенной микрофлоры, в том числе сальмонелл (индекс) (для органических удобрений на основе навоза, помета, осадков сточных вод).</w:t>
      </w:r>
    </w:p>
    <w:p w14:paraId="12F995A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Наличие жизнеспособных личинок и яиц гельминтов (экземпляров на килограмм образец (далее - экз./кг) (для органических удобрений на основе навоза, помета, осадков сточных вод).</w:t>
      </w:r>
    </w:p>
    <w:p w14:paraId="0BEEA3C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Наличие цист кишечных патогенных простейших (экземпляров на 100 грамм образца (далее - экз./100 г) (для органических удобрений на основе навоза, помета, осадков сточных вод).</w:t>
      </w:r>
    </w:p>
    <w:p w14:paraId="5D0DABA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Наличие личинок и куколок синантропных мух (экз./кг) (для органических удобрений на основе навоза, помета, осадков сточных вод).</w:t>
      </w:r>
    </w:p>
    <w:p w14:paraId="708040B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Способ обезвреживания (для навоза, помета, осадков сточных вод и других объектов).</w:t>
      </w:r>
    </w:p>
    <w:p w14:paraId="033FE57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Содержание нитратного азота и соотношение основных элементов питания: азота, фосфора, калия (для азотсодержащих удобрений).</w:t>
      </w:r>
    </w:p>
    <w:p w14:paraId="4553654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2.10. Содержание нитратного азота и соотношение основных элементов питания: азота, фосфора, калия.</w:t>
      </w:r>
    </w:p>
    <w:p w14:paraId="2B61BE4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D4D9B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Сведения по оценке биологической эффективности агрохимиката:</w:t>
      </w:r>
    </w:p>
    <w:p w14:paraId="62272CC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Сфера применения (сельскохозяйственное производство, личное подсобное хозяйство).</w:t>
      </w:r>
    </w:p>
    <w:p w14:paraId="13ED45E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Культуры.</w:t>
      </w:r>
    </w:p>
    <w:p w14:paraId="109F7B9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Рекомендуемые регламенты применения (сроки внесения агрохимиката, нормы (дозы), способ и особенности применения, кратность внесения).</w:t>
      </w:r>
    </w:p>
    <w:p w14:paraId="515462E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Биологическая эффективность: лабораторные и вегетационные опыты; полевые опыты.</w:t>
      </w:r>
    </w:p>
    <w:p w14:paraId="2D635A7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Результаты оценки биологической эффективности и безопасности в других странах.</w:t>
      </w:r>
    </w:p>
    <w:p w14:paraId="579153B4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44F22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Микробиологические агрохимикаты. Сведения о составе и свойствах активного ингредиента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(бактериальные, грибные на основе продуктов жизнедеятельности микроорганизмов):</w:t>
      </w:r>
    </w:p>
    <w:p w14:paraId="590A091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AE827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Свойства штамма-продуцента:</w:t>
      </w:r>
    </w:p>
    <w:p w14:paraId="4A79209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Видовое название штамма (изолята).</w:t>
      </w:r>
    </w:p>
    <w:p w14:paraId="23E44DF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4.1.2. Номер, название штамма.</w:t>
      </w:r>
    </w:p>
    <w:p w14:paraId="088F17E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Источник выделения штамма.</w:t>
      </w:r>
    </w:p>
    <w:p w14:paraId="7493D9D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Культурально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>-морфологические и биохимические свойства, тесты и критерии идентификации (указать также организацию, проводившую идентификацию).</w:t>
      </w:r>
    </w:p>
    <w:p w14:paraId="67191BC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Патогенность и антагонизм по отношению к вредному объекту.</w:t>
      </w:r>
    </w:p>
    <w:p w14:paraId="494B286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Способ, условия и состав питательных сред для хранения штамма.</w:t>
      </w:r>
    </w:p>
    <w:p w14:paraId="635A27C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4.1.7. Способ, условия и состав питательных сред для размножения микроорганизмов. Для вирусов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микроспоридий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указывается характеристика специфического сырья для выращивания.</w:t>
      </w:r>
    </w:p>
    <w:p w14:paraId="14B5AD4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Способ обнаружения микроорганизма в микробных ассоциациях окружающей среды и биоматериале.</w:t>
      </w:r>
    </w:p>
    <w:p w14:paraId="18C5536A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Продукт, синтезируемый штаммом (химический состав, структурная формула, стабильность, метод определения остатков).</w:t>
      </w:r>
    </w:p>
    <w:p w14:paraId="651DBC1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62C5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Характеристика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препаративной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формы:</w:t>
      </w:r>
    </w:p>
    <w:p w14:paraId="6F6B040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4.2.1. Состав: содержание действующего начала (титр живых клеток или продукта их жизнедеятельности, титр вирусных телец, включений), вспомогательных веществ и их назначение.</w:t>
      </w:r>
    </w:p>
    <w:p w14:paraId="77870A16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Агрегатное состояние</w:t>
      </w:r>
    </w:p>
    <w:p w14:paraId="129AE40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Смачиваемость.</w:t>
      </w:r>
    </w:p>
    <w:p w14:paraId="5B29D77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 Содержание влаги.</w:t>
      </w:r>
    </w:p>
    <w:p w14:paraId="6F3D1ADF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 Содержание посторонней микрофлоры.</w:t>
      </w:r>
    </w:p>
    <w:p w14:paraId="163CC0E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Метод определения действующего начала.</w:t>
      </w:r>
    </w:p>
    <w:p w14:paraId="33C0C99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Условия и сроки хранения.</w:t>
      </w:r>
    </w:p>
    <w:p w14:paraId="06035D43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Способ приготовления рабочих растворов.</w:t>
      </w:r>
    </w:p>
    <w:p w14:paraId="4A1D82E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4.2.9. Совместимость с другими агрохимикатами и пестицидами.</w:t>
      </w:r>
    </w:p>
    <w:p w14:paraId="69345852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D31A9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Токсикологическая характеристика агрохимиката (кроме питательных грунтов, торфа, навоза, помета):</w:t>
      </w:r>
    </w:p>
    <w:p w14:paraId="18D6DB2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Класс опасности.</w:t>
      </w:r>
    </w:p>
    <w:p w14:paraId="05A1B725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Характер негативного воздействия на здоровье человека.</w:t>
      </w:r>
    </w:p>
    <w:p w14:paraId="27FBA95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ПДК в воздухе рабочей зоны.</w:t>
      </w:r>
    </w:p>
    <w:p w14:paraId="7C9CFA9F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479B8D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Гигиеническая характеристика агрохимиката:</w:t>
      </w:r>
    </w:p>
    <w:p w14:paraId="2F273861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Данные о поведении агрохимиката в объектах окружающей среды (почве, воде, воздухе), включая способность к образованию опасных метаболитов.</w:t>
      </w:r>
    </w:p>
    <w:p w14:paraId="0EAAB80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Влияние на качество и пищевую ценность продуктов питания, включая содержание основных элементов питания агрохимикатов и их примесей (тяжелые металлы, радионуклиды и элементы).</w:t>
      </w:r>
    </w:p>
    <w:p w14:paraId="4661E53D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Данные о содержании нитратов в сельскохозяйственной продукции при применении азотсодержащих минеральных удобрений.</w:t>
      </w:r>
    </w:p>
    <w:p w14:paraId="34A43E10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Рекомендации по безопасному хранению, перевозке и применению. При внедрении новых технологий применения (внесения) агрохимиката, а также в случае использования агрохимиката не изученного ранее состава проводится гигиеническая оценка условий их производства и применения (гигиена труда, гигиена окружающей среды).</w:t>
      </w:r>
    </w:p>
    <w:p w14:paraId="1BEDAAAE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Меры первой помощи при отравлении.</w:t>
      </w:r>
    </w:p>
    <w:p w14:paraId="07B997E7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Методы определения токсичных примесей в агрохимикате и объектах окружающей среды.</w:t>
      </w:r>
    </w:p>
    <w:p w14:paraId="76051F5A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0C6DE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Экотоксикологическая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характеристика агрохимиката (для агрохимикатов на основе отходов производства и сырья природного происхождения, находящегося в зоне возможного влияния выбросов промышленных предприятий):</w:t>
      </w:r>
    </w:p>
    <w:p w14:paraId="762A0032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Дождевые черви: острая токсичность; сублетальные эффекты.</w:t>
      </w:r>
    </w:p>
    <w:p w14:paraId="44567E4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Почвенные микроорганизмы: влияние на процессы минерализации углерода: влияние на процессы трансформации азота.</w:t>
      </w:r>
    </w:p>
    <w:p w14:paraId="4537CE19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Возможность загрязнения окружающей среды:</w:t>
      </w:r>
    </w:p>
    <w:p w14:paraId="08EA8088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почвенный покров.</w:t>
      </w:r>
    </w:p>
    <w:p w14:paraId="2751A704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поверхностные и грунтовые воды.</w:t>
      </w:r>
    </w:p>
    <w:p w14:paraId="0281147B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атмосферный воздух.</w:t>
      </w:r>
    </w:p>
    <w:p w14:paraId="2CFB65DC" w14:textId="77777777" w:rsidR="003532AF" w:rsidRDefault="003532AF" w:rsidP="003532A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полезная флора и фауна.</w:t>
      </w:r>
    </w:p>
    <w:p w14:paraId="437F8516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3532AF" w14:paraId="553AD421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217782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(при наличии)</w:t>
            </w:r>
          </w:p>
        </w:tc>
        <w:tc>
          <w:tcPr>
            <w:tcW w:w="6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279E3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2AF" w14:paraId="6AF9BE5A" w14:textId="77777777">
        <w:tblPrEx>
          <w:tblCellMar>
            <w:top w:w="0" w:type="dxa"/>
            <w:bottom w:w="0" w:type="dxa"/>
          </w:tblCellMar>
        </w:tblPrEx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14:paraId="4CE8C796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3D97EA" w14:textId="77777777" w:rsidR="003532AF" w:rsidRDefault="003532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руководителя</w:t>
            </w:r>
          </w:p>
        </w:tc>
      </w:tr>
    </w:tbl>
    <w:p w14:paraId="0A087471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67BC57" w14:textId="77777777" w:rsidR="003532AF" w:rsidRDefault="003532AF" w:rsidP="00353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B10C4F" w14:textId="77777777" w:rsidR="003532AF" w:rsidRDefault="003532AF" w:rsidP="003532AF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47F23056" w14:textId="77777777" w:rsidR="003532AF" w:rsidRDefault="003532AF"/>
    <w:sectPr w:rsidR="003532AF" w:rsidSect="003532AF">
      <w:pgSz w:w="12240" w:h="15840"/>
      <w:pgMar w:top="1134" w:right="104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AF"/>
    <w:rsid w:val="0035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59D9"/>
  <w15:chartTrackingRefBased/>
  <w15:docId w15:val="{848DB59D-5434-4980-822E-BA33CB7E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souz.ru/" TargetMode="External"/><Relationship Id="rId18" Type="http://schemas.openxmlformats.org/officeDocument/2006/relationships/hyperlink" Target="http://www.tsouz.ru/" TargetMode="External"/><Relationship Id="rId26" Type="http://schemas.openxmlformats.org/officeDocument/2006/relationships/hyperlink" Target="http://www.tsouz.ru/" TargetMode="External"/><Relationship Id="rId39" Type="http://schemas.openxmlformats.org/officeDocument/2006/relationships/hyperlink" Target="http://www.eaeunion.org/" TargetMode="External"/><Relationship Id="rId21" Type="http://schemas.openxmlformats.org/officeDocument/2006/relationships/hyperlink" Target="http://www.tsouz.ru/" TargetMode="External"/><Relationship Id="rId34" Type="http://schemas.openxmlformats.org/officeDocument/2006/relationships/hyperlink" Target="http://www.eurasiancommission.org/" TargetMode="External"/><Relationship Id="rId42" Type="http://schemas.openxmlformats.org/officeDocument/2006/relationships/hyperlink" Target="http://www.eaeunion.org/" TargetMode="External"/><Relationship Id="rId47" Type="http://schemas.openxmlformats.org/officeDocument/2006/relationships/hyperlink" Target="http://www.tsouz.ru/" TargetMode="External"/><Relationship Id="rId50" Type="http://schemas.openxmlformats.org/officeDocument/2006/relationships/hyperlink" Target="http://www.eurasiancommission.org/" TargetMode="External"/><Relationship Id="rId55" Type="http://schemas.openxmlformats.org/officeDocument/2006/relationships/hyperlink" Target="http://www.eaeunion.org/" TargetMode="External"/><Relationship Id="rId7" Type="http://schemas.openxmlformats.org/officeDocument/2006/relationships/hyperlink" Target="l%20Par66%20%20o%20" TargetMode="External"/><Relationship Id="rId12" Type="http://schemas.openxmlformats.org/officeDocument/2006/relationships/hyperlink" Target="www.mcx.ru" TargetMode="External"/><Relationship Id="rId17" Type="http://schemas.openxmlformats.org/officeDocument/2006/relationships/hyperlink" Target="http://www.tsouz.ru/" TargetMode="External"/><Relationship Id="rId25" Type="http://schemas.openxmlformats.org/officeDocument/2006/relationships/hyperlink" Target="http://www.tsouz.ru/" TargetMode="External"/><Relationship Id="rId33" Type="http://schemas.openxmlformats.org/officeDocument/2006/relationships/hyperlink" Target="http://www.eurasiancommission.org/" TargetMode="External"/><Relationship Id="rId38" Type="http://schemas.openxmlformats.org/officeDocument/2006/relationships/hyperlink" Target="http://www.eaeunion.org/" TargetMode="External"/><Relationship Id="rId46" Type="http://schemas.openxmlformats.org/officeDocument/2006/relationships/hyperlink" Target="http://www.tsouz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tsouz.ru/" TargetMode="External"/><Relationship Id="rId20" Type="http://schemas.openxmlformats.org/officeDocument/2006/relationships/hyperlink" Target="http://www.tsouz.ru/" TargetMode="External"/><Relationship Id="rId29" Type="http://schemas.openxmlformats.org/officeDocument/2006/relationships/hyperlink" Target="http://www.tsouz.ru/" TargetMode="External"/><Relationship Id="rId41" Type="http://schemas.openxmlformats.org/officeDocument/2006/relationships/hyperlink" Target="http://www.eaeunion.org/" TargetMode="External"/><Relationship Id="rId54" Type="http://schemas.openxmlformats.org/officeDocument/2006/relationships/hyperlink" Target="http://www.eaeunion.org/" TargetMode="External"/><Relationship Id="rId1" Type="http://schemas.openxmlformats.org/officeDocument/2006/relationships/styles" Target="styles.xml"/><Relationship Id="rId6" Type="http://schemas.openxmlformats.org/officeDocument/2006/relationships/hyperlink" Target="l%20Par512%20%20o%20" TargetMode="External"/><Relationship Id="rId11" Type="http://schemas.openxmlformats.org/officeDocument/2006/relationships/hyperlink" Target="l%20Par70%20%20o%20" TargetMode="External"/><Relationship Id="rId24" Type="http://schemas.openxmlformats.org/officeDocument/2006/relationships/hyperlink" Target="http://www.tsouz.ru/" TargetMode="External"/><Relationship Id="rId32" Type="http://schemas.openxmlformats.org/officeDocument/2006/relationships/hyperlink" Target="http://www.eurasiancommission.org/" TargetMode="External"/><Relationship Id="rId37" Type="http://schemas.openxmlformats.org/officeDocument/2006/relationships/hyperlink" Target="http://www.eaeunion.org" TargetMode="External"/><Relationship Id="rId40" Type="http://schemas.openxmlformats.org/officeDocument/2006/relationships/hyperlink" Target="http://www.eaeunion.org/" TargetMode="External"/><Relationship Id="rId45" Type="http://schemas.openxmlformats.org/officeDocument/2006/relationships/hyperlink" Target="http://www.tsouz.ru/" TargetMode="External"/><Relationship Id="rId53" Type="http://schemas.openxmlformats.org/officeDocument/2006/relationships/hyperlink" Target="http://www.eaeunion.org/" TargetMode="External"/><Relationship Id="rId58" Type="http://schemas.openxmlformats.org/officeDocument/2006/relationships/theme" Target="theme/theme1.xml"/><Relationship Id="rId5" Type="http://schemas.openxmlformats.org/officeDocument/2006/relationships/hyperlink" Target="l%20Par122%20%20o%20" TargetMode="External"/><Relationship Id="rId15" Type="http://schemas.openxmlformats.org/officeDocument/2006/relationships/hyperlink" Target="http://www.tsouz.ru/" TargetMode="External"/><Relationship Id="rId23" Type="http://schemas.openxmlformats.org/officeDocument/2006/relationships/hyperlink" Target="http://www.tsouz.ru/" TargetMode="External"/><Relationship Id="rId28" Type="http://schemas.openxmlformats.org/officeDocument/2006/relationships/hyperlink" Target="http://www.tsouz.ru/" TargetMode="External"/><Relationship Id="rId36" Type="http://schemas.openxmlformats.org/officeDocument/2006/relationships/hyperlink" Target="http://www.eaeunion.org/" TargetMode="External"/><Relationship Id="rId49" Type="http://schemas.openxmlformats.org/officeDocument/2006/relationships/hyperlink" Target="http://www.tsouz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l%20Par70%20%20o%20" TargetMode="External"/><Relationship Id="rId19" Type="http://schemas.openxmlformats.org/officeDocument/2006/relationships/hyperlink" Target="http://www.tsouz.ru/" TargetMode="External"/><Relationship Id="rId31" Type="http://schemas.openxmlformats.org/officeDocument/2006/relationships/hyperlink" Target="http://www.tsouz.ru/" TargetMode="External"/><Relationship Id="rId44" Type="http://schemas.openxmlformats.org/officeDocument/2006/relationships/hyperlink" Target="http://www.eaeunion.org/" TargetMode="External"/><Relationship Id="rId52" Type="http://schemas.openxmlformats.org/officeDocument/2006/relationships/hyperlink" Target="http://www.eaeunion.org/" TargetMode="External"/><Relationship Id="rId4" Type="http://schemas.openxmlformats.org/officeDocument/2006/relationships/hyperlink" Target="l%20Par27%20%20o%20" TargetMode="External"/><Relationship Id="rId9" Type="http://schemas.openxmlformats.org/officeDocument/2006/relationships/hyperlink" Target="l%20Par64%20%20o%20" TargetMode="External"/><Relationship Id="rId14" Type="http://schemas.openxmlformats.org/officeDocument/2006/relationships/hyperlink" Target="http://www.tsouz.ru/" TargetMode="External"/><Relationship Id="rId22" Type="http://schemas.openxmlformats.org/officeDocument/2006/relationships/hyperlink" Target="http://www.tsouz.ru/" TargetMode="External"/><Relationship Id="rId27" Type="http://schemas.openxmlformats.org/officeDocument/2006/relationships/hyperlink" Target="http://www.tsouz.ru/" TargetMode="External"/><Relationship Id="rId30" Type="http://schemas.openxmlformats.org/officeDocument/2006/relationships/hyperlink" Target="http://www.tsouz.ru/" TargetMode="External"/><Relationship Id="rId35" Type="http://schemas.openxmlformats.org/officeDocument/2006/relationships/hyperlink" Target="http://www.eaeunion.org" TargetMode="External"/><Relationship Id="rId43" Type="http://schemas.openxmlformats.org/officeDocument/2006/relationships/hyperlink" Target="http://www.eaeunion.org/" TargetMode="External"/><Relationship Id="rId48" Type="http://schemas.openxmlformats.org/officeDocument/2006/relationships/hyperlink" Target="http://www.tsouz.ru/" TargetMode="External"/><Relationship Id="rId56" Type="http://schemas.openxmlformats.org/officeDocument/2006/relationships/hyperlink" Target="http://www.eaeunion.org/" TargetMode="External"/><Relationship Id="rId8" Type="http://schemas.openxmlformats.org/officeDocument/2006/relationships/hyperlink" Target="www.mcx.ru" TargetMode="External"/><Relationship Id="rId51" Type="http://schemas.openxmlformats.org/officeDocument/2006/relationships/hyperlink" Target="http://www.eaeunion.org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9113</Words>
  <Characters>51946</Characters>
  <Application>Microsoft Office Word</Application>
  <DocSecurity>0</DocSecurity>
  <Lines>432</Lines>
  <Paragraphs>121</Paragraphs>
  <ScaleCrop>false</ScaleCrop>
  <Company/>
  <LinksUpToDate>false</LinksUpToDate>
  <CharactersWithSpaces>60938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Альянс Био</dc:creator>
  <cp:keywords/>
  <dc:description/>
  <cp:lastModifiedBy>Альянс Био</cp:lastModifiedBy>
  <cp:revision>1</cp:revision>
  <dcterms:created xsi:type="dcterms:W3CDTF">2020-11-11T13:59:00Z</dcterms:created>
  <dcterms:modified xsi:type="dcterms:W3CDTF">2020-11-11T14:03:00Z</dcterms:modified>
</cp:coreProperties>
</file>